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drawing>
          <wp:inline distT="0" distB="0" distL="0" distR="0">
            <wp:extent cx="4095750" cy="971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095750" cy="971550"/>
                    </a:xfrm>
                    <a:prstGeom prst="rect">
                      <a:avLst/>
                    </a:prstGeom>
                  </pic:spPr>
                </pic:pic>
              </a:graphicData>
            </a:graphic>
          </wp:inline>
        </w:drawing>
      </w:r>
    </w:p>
    <w:p>
      <w:pPr>
        <w:spacing w:after="60"/>
        <w:jc w:val="center"/>
      </w:pPr>
      <w:r>
        <w:rPr>
          <w:rFonts w:ascii="Calibri" w:cs="Calibri" w:eastAsia="Calibri" w:hAnsi="Calibri"/>
          <w:b/>
          <w:bCs/>
          <w:i w:val="false"/>
          <w:iCs w:val="false"/>
          <w:color w:val="123A55"/>
          <w:sz w:val="44"/>
          <w:szCs w:val="44"/>
        </w:rPr>
        <w:t xml:space="preserve">ΙΟΣ ΤΟΥ ΔΥΤΙΚΟΥ ΝΕΙΛΟΥ</w:t>
      </w:r>
    </w:p>
    <w:p>
      <w:pPr>
        <w:spacing w:after="100"/>
        <w:jc w:val="center"/>
      </w:pPr>
      <w:r>
        <w:rPr>
          <w:rFonts w:ascii="Calibri" w:cs="Calibri" w:eastAsia="Calibri" w:hAnsi="Calibri"/>
          <w:b w:val="false"/>
          <w:bCs w:val="false"/>
          <w:i w:val="false"/>
          <w:iCs w:val="false"/>
          <w:color w:val="2E8B8B"/>
          <w:sz w:val="26"/>
          <w:szCs w:val="26"/>
        </w:rPr>
        <w:t xml:space="preserve">Τι πρέπει να γνωρίζουμε</w:t>
      </w:r>
    </w:p>
    <w:p>
      <w:pPr>
        <w:pBdr>
          <w:bottom w:val="single" w:color="C9DDE0" w:sz="6" w:space="6"/>
        </w:pBdr>
        <w:spacing w:after="320"/>
        <w:jc w:val="center"/>
      </w:pPr>
      <w:r>
        <w:rPr>
          <w:rFonts w:ascii="Calibri" w:cs="Calibri" w:eastAsia="Calibri" w:hAnsi="Calibri"/>
          <w:b w:val="false"/>
          <w:bCs w:val="false"/>
          <w:i w:val="false"/>
          <w:iCs w:val="false"/>
          <w:color w:val="5F6E78"/>
          <w:sz w:val="19"/>
          <w:szCs w:val="19"/>
        </w:rPr>
        <w:t xml:space="preserve">Ενημέρωση κοινού  ·  Αύγουστος 2026</w:t>
      </w:r>
    </w:p>
    <w:p>
      <w:pPr>
        <w:pBdr>
          <w:bottom w:val="single" w:color="2E8B8B" w:sz="10" w:space="5"/>
        </w:pBdr>
        <w:spacing w:after="160" w:before="320"/>
      </w:pPr>
      <w:r>
        <w:rPr>
          <w:rFonts w:ascii="Calibri" w:cs="Calibri" w:eastAsia="Calibri" w:hAnsi="Calibri"/>
          <w:b/>
          <w:bCs/>
          <w:color w:val="123A55"/>
          <w:sz w:val="30"/>
          <w:szCs w:val="30"/>
        </w:rPr>
        <w:t xml:space="preserve">1.  Τι είναι ο ιός του Δυτικού Νείλου</w:t>
      </w:r>
    </w:p>
    <w:p>
      <w:pPr>
        <w:spacing w:after="140" w:line="300"/>
      </w:pPr>
      <w:r>
        <w:rPr>
          <w:rFonts w:ascii="Calibri" w:cs="Calibri" w:eastAsia="Calibri" w:hAnsi="Calibri"/>
          <w:color w:val="22303A"/>
          <w:sz w:val="22"/>
          <w:szCs w:val="22"/>
        </w:rPr>
        <w:t>Είναι ένας ιός που ανήκει στην ίδια οικογένεια με τους ιούς του δάγκειου πυρετού και του Zika. Στην Ελλάδα καταγράφεται κάθε καλοκαίρι από το 2010 και μετά. Δεν πρόκειται, επομένως, για νέο ή άγνωστο νόσημα: ο ιός κυκλοφορεί πλέον στη χώρα μας, όπως και σε πολλές άλλες ευρωπαϊκές χώρες.</w:t>
      </w:r>
    </w:p>
    <w:p>
      <w:pPr>
        <w:pBdr>
          <w:bottom w:val="single" w:color="2E8B8B" w:sz="10" w:space="5"/>
        </w:pBdr>
        <w:spacing w:after="160" w:before="320"/>
      </w:pPr>
      <w:r>
        <w:rPr>
          <w:rFonts w:ascii="Calibri" w:cs="Calibri" w:eastAsia="Calibri" w:hAnsi="Calibri"/>
          <w:b/>
          <w:bCs/>
          <w:color w:val="123A55"/>
          <w:sz w:val="30"/>
          <w:szCs w:val="30"/>
        </w:rPr>
        <w:t xml:space="preserve">2.  Πώς μεταδίδεται</w:t>
      </w:r>
    </w:p>
    <w:p>
      <w:pPr>
        <w:spacing w:after="140" w:line="300"/>
      </w:pPr>
      <w:r>
        <w:rPr>
          <w:rFonts w:ascii="Calibri" w:cs="Calibri" w:eastAsia="Calibri" w:hAnsi="Calibri"/>
          <w:b w:val="false"/>
          <w:bCs w:val="false"/>
          <w:i w:val="false"/>
          <w:iCs w:val="false"/>
          <w:color w:val="22303A"/>
          <w:sz w:val="22"/>
          <w:szCs w:val="22"/>
        </w:rPr>
        <w:t xml:space="preserve">Ο ιός κυκλοφορεί κυρίως ανάμεσα στα </w:t>
      </w:r>
      <w:r>
        <w:rPr>
          <w:rFonts w:ascii="Calibri" w:cs="Calibri" w:eastAsia="Calibri" w:hAnsi="Calibri"/>
          <w:b/>
          <w:bCs/>
          <w:i w:val="false"/>
          <w:iCs w:val="false"/>
          <w:color w:val="22303A"/>
          <w:sz w:val="22"/>
          <w:szCs w:val="22"/>
        </w:rPr>
        <w:t>άγρια πτηνά</w:t>
      </w:r>
      <w:r>
        <w:rPr>
          <w:rFonts w:ascii="Calibri" w:cs="Calibri" w:eastAsia="Calibri" w:hAnsi="Calibri"/>
          <w:b w:val="false"/>
          <w:bCs w:val="false"/>
          <w:i w:val="false"/>
          <w:iCs w:val="false"/>
          <w:color w:val="22303A"/>
          <w:sz w:val="22"/>
          <w:szCs w:val="22"/>
        </w:rPr>
        <w:t xml:space="preserve"> και στα </w:t>
      </w:r>
      <w:r>
        <w:rPr>
          <w:rFonts w:ascii="Calibri" w:cs="Calibri" w:eastAsia="Calibri" w:hAnsi="Calibri"/>
          <w:b/>
          <w:bCs/>
          <w:i w:val="false"/>
          <w:iCs w:val="false"/>
          <w:color w:val="22303A"/>
          <w:sz w:val="22"/>
          <w:szCs w:val="22"/>
        </w:rPr>
        <w:t xml:space="preserve">κουνούπια</w:t>
      </w:r>
      <w:r>
        <w:rPr>
          <w:rFonts w:ascii="Calibri" w:cs="Calibri" w:eastAsia="Calibri" w:hAnsi="Calibri"/>
          <w:b w:val="false"/>
          <w:bCs w:val="false"/>
          <w:i w:val="false"/>
          <w:iCs w:val="false"/>
          <w:color w:val="22303A"/>
          <w:sz w:val="22"/>
          <w:szCs w:val="22"/>
        </w:rPr>
        <w:t xml:space="preserve">. Ένα κουνούπι τσιμπάει ένα μολυσμένο πτηνό, μολύνεται από τον ιό και στη συνέχεια μπορεί να τον μεταδώσει σε άνθρωπο με το τσίμπημά του.</w:t>
      </w:r>
    </w:p>
    <w:p>
      <w:pPr>
        <w:spacing w:after="140" w:line="300"/>
      </w:pPr>
      <w:r>
        <w:rPr>
          <w:rFonts w:ascii="Calibri" w:cs="Calibri" w:eastAsia="Calibri" w:hAnsi="Calibri"/>
          <w:b w:val="false"/>
          <w:bCs w:val="false"/>
          <w:i w:val="false"/>
          <w:iCs w:val="false"/>
          <w:color w:val="22303A"/>
          <w:sz w:val="22"/>
          <w:szCs w:val="22"/>
        </w:rPr>
        <w:t>Μεταδίδεται κυρίως από κουνούπια του γένους Culex, τα οποία είναι ευρέως διαδεδομένα στη χώρα μας.</w:t>
      </w:r>
      <w:r>
        <w:rPr>
          <w:rFonts w:ascii="Calibri" w:cs="Calibri" w:eastAsia="Calibri" w:hAnsi="Calibri"/>
          <w:b/>
          <w:bCs/>
          <w:i w:val="false"/>
          <w:iCs w:val="false"/>
          <w:color w:val="22303A"/>
          <w:sz w:val="22"/>
          <w:szCs w:val="22"/>
        </w:rPr>
      </w:r>
      <w:r>
        <w:rPr>
          <w:rFonts w:ascii="Calibri" w:cs="Calibri" w:eastAsia="Calibri" w:hAnsi="Calibri"/>
          <w:b w:val="false"/>
          <w:bCs w:val="false"/>
          <w:i w:val="false"/>
          <w:iCs w:val="false"/>
          <w:color w:val="22303A"/>
          <w:sz w:val="22"/>
          <w:szCs w:val="22"/>
        </w:rPr>
      </w:r>
    </w:p>
    <w:p>
      <w:pPr>
        <w:pBdr>
          <w:bottom w:val="single" w:color="2E8B8B" w:sz="10" w:space="5"/>
        </w:pBdr>
        <w:spacing w:after="160" w:before="320"/>
      </w:pPr>
      <w:r>
        <w:rPr>
          <w:rFonts w:ascii="Calibri" w:cs="Calibri" w:eastAsia="Calibri" w:hAnsi="Calibri"/>
          <w:b/>
          <w:bCs/>
          <w:color w:val="123A55"/>
          <w:sz w:val="30"/>
          <w:szCs w:val="30"/>
        </w:rPr>
        <w:t xml:space="preserve">3.  Πώς ΔΕΝ μεταδίδεται</w:t>
      </w:r>
    </w:p>
    <w:p>
      <w:pPr>
        <w:spacing w:after="140" w:line="300"/>
      </w:pPr>
      <w:r>
        <w:rPr>
          <w:rFonts w:ascii="Calibri" w:cs="Calibri" w:eastAsia="Calibri" w:hAnsi="Calibri"/>
          <w:color w:val="22303A"/>
          <w:sz w:val="22"/>
          <w:szCs w:val="22"/>
        </w:rPr>
        <w:t xml:space="preserve">Αυτό είναι από τα πιο σημαντικά σημεία, γιατί προκαλεί τη μεγαλύτερη ανησυχία χωρίς λόγο:</w:t>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Δεν</w:t>
      </w:r>
      <w:r>
        <w:rPr>
          <w:rFonts w:ascii="Calibri" w:cs="Calibri" w:eastAsia="Calibri" w:hAnsi="Calibri"/>
          <w:b w:val="false"/>
          <w:bCs w:val="false"/>
          <w:i w:val="false"/>
          <w:iCs w:val="false"/>
          <w:color w:val="22303A"/>
          <w:sz w:val="22"/>
          <w:szCs w:val="22"/>
        </w:rPr>
        <w:t xml:space="preserve"> μεταδίδεται από άνθρωπο σε άνθρωπο.</w:t>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Δεν</w:t>
      </w:r>
      <w:r>
        <w:rPr>
          <w:rFonts w:ascii="Calibri" w:cs="Calibri" w:eastAsia="Calibri" w:hAnsi="Calibri"/>
          <w:b w:val="false"/>
          <w:bCs w:val="false"/>
          <w:i w:val="false"/>
          <w:iCs w:val="false"/>
          <w:color w:val="22303A"/>
          <w:sz w:val="22"/>
          <w:szCs w:val="22"/>
        </w:rPr>
        <w:t xml:space="preserve"> κολλάει με την επαφή, το άγγιγμα, το φιλί, τον βήχα ή το φαγητό.</w:t>
      </w:r>
    </w:p>
    <w:p>
      <w:pPr>
        <w:pStyle w:val="ListParagraph"/>
        <w:numPr>
          <w:ilvl w:val="0"/>
          <w:numId w:val="2"/>
        </w:numPr>
        <w:spacing w:after="90" w:line="300"/>
      </w:pPr>
      <w:r>
        <w:rPr>
          <w:rFonts w:ascii="Calibri" w:cs="Calibri" w:eastAsia="Calibri" w:hAnsi="Calibri"/>
          <w:b w:val="false"/>
          <w:bCs w:val="false"/>
          <w:i w:val="false"/>
          <w:iCs w:val="false"/>
          <w:color w:val="22303A"/>
          <w:sz w:val="22"/>
          <w:szCs w:val="22"/>
        </w:rPr>
        <w:t>Ένας άνθρωπος που έχει νοσήσει δεν αποτελεί κίνδυνο για την οικογένειά του μέσω της καθημερινής επαφής.</w:t>
      </w:r>
      <w:r>
        <w:rPr>
          <w:rFonts w:ascii="Calibri" w:cs="Calibri" w:eastAsia="Calibri" w:hAnsi="Calibri"/>
          <w:b/>
          <w:bCs/>
          <w:i w:val="false"/>
          <w:iCs w:val="false"/>
          <w:color w:val="22303A"/>
          <w:sz w:val="22"/>
          <w:szCs w:val="22"/>
        </w:rPr>
      </w:r>
      <w:r>
        <w:rPr>
          <w:rFonts w:ascii="Calibri" w:cs="Calibri" w:eastAsia="Calibri" w:hAnsi="Calibri"/>
          <w:b w:val="false"/>
          <w:bCs w:val="false"/>
          <w:i w:val="false"/>
          <w:iCs w:val="false"/>
          <w:color w:val="22303A"/>
          <w:sz w:val="22"/>
          <w:szCs w:val="22"/>
        </w:rPr>
      </w:r>
      <w:r>
        <w:rPr>
          <w:rFonts w:ascii="Calibri" w:cs="Calibri" w:eastAsia="Calibri" w:hAnsi="Calibri"/>
          <w:b/>
          <w:bCs/>
          <w:i w:val="false"/>
          <w:iCs w:val="false"/>
          <w:color w:val="22303A"/>
          <w:sz w:val="22"/>
          <w:szCs w:val="22"/>
        </w:rPr>
      </w:r>
      <w:r>
        <w:rPr>
          <w:rFonts w:ascii="Calibri" w:cs="Calibri" w:eastAsia="Calibri" w:hAnsi="Calibri"/>
          <w:b w:val="false"/>
          <w:bCs w:val="false"/>
          <w:i w:val="false"/>
          <w:iCs w:val="false"/>
          <w:color w:val="22303A"/>
          <w:sz w:val="22"/>
          <w:szCs w:val="22"/>
        </w:rPr>
      </w:r>
    </w:p>
    <w:tbl>
      <w:tblPr>
        <w:tblW w:type="dxa" w:w="9360"/>
        <w:tblBorders>
          <w:top w:val="single" w:color="EAF2F4" w:sz="2"/>
          <w:left w:val="single" w:color="2E8B8B" w:sz="24"/>
          <w:bottom w:val="single" w:color="EAF2F4" w:sz="2"/>
          <w:right w:val="single" w:color="EAF2F4" w:sz="2"/>
          <w:insideH w:val="none" w:color="FFFFFF" w:sz="0"/>
          <w:insideV w:val="none" w:color="FFFFFF" w:sz="0"/>
        </w:tblBorders>
      </w:tblPr>
      <w:tblGrid>
        <w:gridCol w:w="9360"/>
      </w:tblGrid>
      <w:tr>
        <w:tc>
          <w:tcPr>
            <w:tcW w:type="dxa" w:w="9360"/>
            <w:shd w:fill="EAF2F4" w:color="auto" w:val="clear"/>
            <w:tcMar>
              <w:top w:type="dxa" w:w="200"/>
              <w:left w:type="dxa" w:w="240"/>
              <w:bottom w:type="dxa" w:w="200"/>
              <w:right w:type="dxa" w:w="240"/>
            </w:tcMar>
          </w:tcPr>
          <w:p>
            <w:pPr>
              <w:spacing w:after="0" w:line="300"/>
            </w:pPr>
            <w:r>
              <w:rPr>
                <w:rFonts w:ascii="Calibri" w:cs="Calibri" w:eastAsia="Calibri" w:hAnsi="Calibri"/>
                <w:b/>
                <w:bCs/>
                <w:i w:val="false"/>
                <w:iCs w:val="false"/>
                <w:color w:val="123A55"/>
                <w:sz w:val="22"/>
                <w:szCs w:val="22"/>
              </w:rPr>
              <w:t>Δεν απαιτείται απομόνωση ή χρήση μάσκας για την πρόληψη της συνήθους μετάδοσης.</w:t>
            </w:r>
          </w:p>
        </w:tc>
      </w:tr>
    </w:tbl>
    <w:p>
      <w:pPr>
        <w:spacing w:after="120" w:line="300"/>
      </w:pPr>
      <w:r>
        <w:rPr>
          <w:rFonts w:ascii="Calibri" w:cs="Calibri" w:eastAsia="Calibri" w:hAnsi="Calibri"/>
          <w:color w:val="22303A"/>
          <w:sz w:val="22"/>
          <w:szCs w:val="22"/>
        </w:rPr>
        <w:t xml:space="preserve"/>
      </w:r>
    </w:p>
    <w:p>
      <w:pPr>
        <w:pBdr>
          <w:bottom w:val="single" w:color="2E8B8B" w:sz="10" w:space="5"/>
        </w:pBdr>
        <w:spacing w:after="160" w:before="320"/>
      </w:pPr>
      <w:r>
        <w:rPr>
          <w:rFonts w:ascii="Calibri" w:cs="Calibri" w:eastAsia="Calibri" w:hAnsi="Calibri"/>
          <w:b/>
          <w:bCs/>
          <w:color w:val="123A55"/>
          <w:sz w:val="30"/>
          <w:szCs w:val="30"/>
        </w:rPr>
        <w:t xml:space="preserve">4.  Τι συμβαίνει όταν κάποιος μολυνθεί</w:t>
      </w:r>
    </w:p>
    <w:p>
      <w:pPr>
        <w:spacing w:after="140" w:line="300"/>
      </w:pPr>
      <w:r>
        <w:rPr>
          <w:rFonts w:ascii="Calibri" w:cs="Calibri" w:eastAsia="Calibri" w:hAnsi="Calibri"/>
          <w:color w:val="22303A"/>
          <w:sz w:val="22"/>
          <w:szCs w:val="22"/>
        </w:rPr>
        <w:t xml:space="preserve">Από 100 ανθρώπους που θα μολυνθούν:</w:t>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Περίπου 80 δεν θα καταλάβουν απολύτως τίποτα.</w:t>
      </w:r>
      <w:r>
        <w:rPr>
          <w:rFonts w:ascii="Calibri" w:cs="Calibri" w:eastAsia="Calibri" w:hAnsi="Calibri"/>
          <w:b w:val="false"/>
          <w:bCs w:val="false"/>
          <w:i w:val="false"/>
          <w:iCs w:val="false"/>
          <w:color w:val="22303A"/>
          <w:sz w:val="22"/>
          <w:szCs w:val="22"/>
        </w:rPr>
        <w:t xml:space="preserve"> Δεν θα εμφανίσουν κανένα σύμπτωμα.</w:t>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Περίπου 19 θα εμφανίσουν μια ήπια, γριπώδη εικόνα:</w:t>
      </w:r>
      <w:r>
        <w:rPr>
          <w:rFonts w:ascii="Calibri" w:cs="Calibri" w:eastAsia="Calibri" w:hAnsi="Calibri"/>
          <w:b w:val="false"/>
          <w:bCs w:val="false"/>
          <w:i w:val="false"/>
          <w:iCs w:val="false"/>
          <w:color w:val="22303A"/>
          <w:sz w:val="22"/>
          <w:szCs w:val="22"/>
        </w:rPr>
        <w:t xml:space="preserve"> πυρετό, πονοκέφαλο, πόνους στους μυς, κούραση, ίσως ένα εξάνθημα. Περνάει μόνο του σε λίγες ημέρες, αν και η κόπωση μπορεί να κρατήσει αρκετές εβδομάδες.</w:t>
      </w:r>
    </w:p>
    <w:p>
      <w:pPr>
        <w:pStyle w:val="ListParagraph"/>
        <w:numPr>
          <w:ilvl w:val="0"/>
          <w:numId w:val="2"/>
        </w:numPr>
        <w:spacing w:after="90" w:line="300"/>
      </w:pPr>
      <w:r>
        <w:rPr>
          <w:rFonts w:ascii="Calibri" w:cs="Calibri" w:eastAsia="Calibri" w:hAnsi="Calibri"/>
          <w:b/>
          <w:bCs/>
          <w:i w:val="false"/>
          <w:iCs w:val="false"/>
          <w:color w:val="22303A"/>
          <w:sz w:val="22"/>
          <w:szCs w:val="22"/>
        </w:rPr>
        <w:t>Λιγότερο από 1%</w:t>
      </w:r>
      <w:r>
        <w:rPr>
          <w:rFonts w:ascii="Calibri" w:cs="Calibri" w:eastAsia="Calibri" w:hAnsi="Calibri"/>
          <w:b w:val="false"/>
          <w:bCs w:val="false"/>
          <w:i w:val="false"/>
          <w:iCs w:val="false"/>
          <w:color w:val="22303A"/>
          <w:sz w:val="22"/>
          <w:szCs w:val="22"/>
        </w:rPr>
        <w:t xml:space="preserve"> (περίπου 1 στους 150) θα εμφανίσει τη σοβαρή μορφή, όπου ο ιός προσβάλλει το νευρικό σύστημα.</w:t>
      </w:r>
    </w:p>
    <w:p>
      <w:pPr>
        <w:spacing w:after="140" w:line="300"/>
      </w:pPr>
      <w:r>
        <w:rPr>
          <w:rFonts w:ascii="Calibri" w:cs="Calibri" w:eastAsia="Calibri" w:hAnsi="Calibri"/>
          <w:b/>
          <w:bCs/>
          <w:i w:val="false"/>
          <w:iCs w:val="false"/>
          <w:color w:val="123A55"/>
          <w:sz w:val="22"/>
          <w:szCs w:val="22"/>
        </w:rPr>
        <w:t xml:space="preserve">Δηλαδή: η συντριπτική πλειονότητα των λοιμώξεων περνάει απαρατήρητη ή ελαφρά.</w:t>
      </w:r>
    </w:p>
    <w:p>
      <w:pPr>
        <w:pBdr>
          <w:bottom w:val="single" w:color="2E8B8B" w:sz="10" w:space="5"/>
        </w:pBdr>
        <w:spacing w:after="160" w:before="320"/>
      </w:pPr>
      <w:r>
        <w:rPr>
          <w:rFonts w:ascii="Calibri" w:cs="Calibri" w:eastAsia="Calibri" w:hAnsi="Calibri"/>
          <w:b/>
          <w:bCs/>
          <w:color w:val="123A55"/>
          <w:sz w:val="30"/>
          <w:szCs w:val="30"/>
        </w:rPr>
        <w:t xml:space="preserve">5.  Ποια είναι η σοβαρή μορφή</w:t>
      </w:r>
    </w:p>
    <w:p>
      <w:pPr>
        <w:spacing w:after="140" w:line="300"/>
      </w:pPr>
      <w:r>
        <w:rPr>
          <w:rFonts w:ascii="Calibri" w:cs="Calibri" w:eastAsia="Calibri" w:hAnsi="Calibri"/>
          <w:color w:val="22303A"/>
          <w:sz w:val="22"/>
          <w:szCs w:val="22"/>
        </w:rPr>
        <w:t xml:space="preserve">Όταν η νόσος διεισδύσει στο νευρικό σύστημα, μπορεί να προκαλέσει φλεγμονή στον εγκέφαλο ή στις μήνιγγες (εγκεφαλίτιδα, μηνιγγίτιδα) ή μυϊκή αδυναμία. Τα σημάδια που πρέπει να μας κινητοποιήσουν είναι:</w:t>
      </w:r>
    </w:p>
    <w:p>
      <w:pPr>
        <w:pStyle w:val="ListParagraph"/>
        <w:numPr>
          <w:ilvl w:val="0"/>
          <w:numId w:val="2"/>
        </w:numPr>
        <w:spacing w:after="90" w:line="300"/>
      </w:pPr>
      <w:r>
        <w:rPr>
          <w:rFonts w:ascii="Calibri" w:cs="Calibri" w:eastAsia="Calibri" w:hAnsi="Calibri"/>
          <w:b w:val="false"/>
          <w:bCs w:val="false"/>
          <w:i w:val="false"/>
          <w:iCs w:val="false"/>
          <w:color w:val="22303A"/>
          <w:sz w:val="22"/>
          <w:szCs w:val="22"/>
        </w:rPr>
        <w:t xml:space="preserve">Υψηλός πυρετός με </w:t>
      </w:r>
      <w:r>
        <w:rPr>
          <w:rFonts w:ascii="Calibri" w:cs="Calibri" w:eastAsia="Calibri" w:hAnsi="Calibri"/>
          <w:b/>
          <w:bCs/>
          <w:i w:val="false"/>
          <w:iCs w:val="false"/>
          <w:color w:val="22303A"/>
          <w:sz w:val="22"/>
          <w:szCs w:val="22"/>
        </w:rPr>
        <w:t xml:space="preserve">έντονο, ασυνήθιστο πονοκέφαλο</w:t>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Σύγχυση, αποπροσανατολισμός</w:t>
      </w:r>
      <w:r>
        <w:rPr>
          <w:rFonts w:ascii="Calibri" w:cs="Calibri" w:eastAsia="Calibri" w:hAnsi="Calibri"/>
          <w:b w:val="false"/>
          <w:bCs w:val="false"/>
          <w:i w:val="false"/>
          <w:iCs w:val="false"/>
          <w:color w:val="22303A"/>
          <w:sz w:val="22"/>
          <w:szCs w:val="22"/>
        </w:rPr>
        <w:t xml:space="preserve">, υπερβολική υπνηλία, αλλαγή στη συμπεριφορά</w:t>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Δυσκαμψία στον αυχένα</w:t>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Τρόμος</w:t>
      </w:r>
      <w:r>
        <w:rPr>
          <w:rFonts w:ascii="Calibri" w:cs="Calibri" w:eastAsia="Calibri" w:hAnsi="Calibri"/>
          <w:b w:val="false"/>
          <w:bCs w:val="false"/>
          <w:i w:val="false"/>
          <w:iCs w:val="false"/>
          <w:color w:val="22303A"/>
          <w:sz w:val="22"/>
          <w:szCs w:val="22"/>
        </w:rPr>
        <w:t xml:space="preserve"> (τρέμουλο) ή απότομες μυϊκές τινάξεις</w:t>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Ξαφνική αδυναμία σε ένα χέρι ή ένα πόδι</w:t>
      </w:r>
      <w:r>
        <w:rPr>
          <w:rFonts w:ascii="Calibri" w:cs="Calibri" w:eastAsia="Calibri" w:hAnsi="Calibri"/>
          <w:b w:val="false"/>
          <w:bCs w:val="false"/>
          <w:i w:val="false"/>
          <w:iCs w:val="false"/>
          <w:color w:val="22303A"/>
          <w:sz w:val="22"/>
          <w:szCs w:val="22"/>
        </w:rPr>
        <w:t xml:space="preserve">, δυσκολία στη βάδιση</w:t>
      </w:r>
    </w:p>
    <w:tbl>
      <w:tblPr>
        <w:tblW w:type="dxa" w:w="9360"/>
        <w:tblBorders>
          <w:top w:val="single" w:color="FDF1E7" w:sz="2"/>
          <w:left w:val="single" w:color="2E8B8B" w:sz="24"/>
          <w:bottom w:val="single" w:color="FDF1E7" w:sz="2"/>
          <w:right w:val="single" w:color="FDF1E7" w:sz="2"/>
          <w:insideH w:val="none" w:color="FFFFFF" w:sz="0"/>
          <w:insideV w:val="none" w:color="FFFFFF" w:sz="0"/>
        </w:tblBorders>
      </w:tblPr>
      <w:tblGrid>
        <w:gridCol w:w="9360"/>
      </w:tblGrid>
      <w:tr>
        <w:tc>
          <w:tcPr>
            <w:tcW w:type="dxa" w:w="9360"/>
            <w:shd w:fill="FDF1E7" w:color="auto" w:val="clear"/>
            <w:tcMar>
              <w:top w:type="dxa" w:w="200"/>
              <w:left w:type="dxa" w:w="240"/>
              <w:bottom w:type="dxa" w:w="200"/>
              <w:right w:type="dxa" w:w="240"/>
            </w:tcMar>
          </w:tcPr>
          <w:p>
            <w:pPr>
              <w:spacing w:after="0" w:line="300"/>
            </w:pPr>
            <w:r>
              <w:rPr>
                <w:rFonts w:ascii="Calibri" w:cs="Calibri" w:eastAsia="Calibri" w:hAnsi="Calibri"/>
                <w:b/>
                <w:bCs/>
                <w:i w:val="false"/>
                <w:iCs w:val="false"/>
                <w:color w:val="123A55"/>
                <w:sz w:val="22"/>
                <w:szCs w:val="22"/>
              </w:rPr>
              <w:t xml:space="preserve">Αν εμφανιστεί κάποιο από αυτά, χρειάζεται άμεση ιατρική εκτίμηση — όχι αναμονή.</w:t>
            </w:r>
          </w:p>
        </w:tc>
      </w:tr>
    </w:tbl>
    <w:p>
      <w:pPr>
        <w:spacing w:after="120" w:line="300"/>
      </w:pPr>
      <w:r>
        <w:rPr>
          <w:rFonts w:ascii="Calibri" w:cs="Calibri" w:eastAsia="Calibri" w:hAnsi="Calibri"/>
          <w:color w:val="22303A"/>
          <w:sz w:val="22"/>
          <w:szCs w:val="22"/>
        </w:rPr>
        <w:t xml:space="preserve"/>
      </w:r>
    </w:p>
    <w:p>
      <w:pPr>
        <w:pBdr>
          <w:bottom w:val="single" w:color="2E8B8B" w:sz="10" w:space="5"/>
        </w:pBdr>
        <w:spacing w:after="160" w:before="320"/>
      </w:pPr>
      <w:r>
        <w:rPr>
          <w:rFonts w:ascii="Calibri" w:cs="Calibri" w:eastAsia="Calibri" w:hAnsi="Calibri"/>
          <w:b/>
          <w:bCs/>
          <w:color w:val="123A55"/>
          <w:sz w:val="30"/>
          <w:szCs w:val="30"/>
        </w:rPr>
        <w:t xml:space="preserve">6.  Ποιοι κινδυνεύουν περισσότερο</w:t>
      </w:r>
    </w:p>
    <w:p>
      <w:pPr>
        <w:spacing w:after="140" w:line="300"/>
      </w:pPr>
      <w:r>
        <w:rPr>
          <w:rFonts w:ascii="Calibri" w:cs="Calibri" w:eastAsia="Calibri" w:hAnsi="Calibri"/>
          <w:b w:val="false"/>
          <w:bCs w:val="false"/>
          <w:i w:val="false"/>
          <w:iCs w:val="false"/>
          <w:color w:val="22303A"/>
          <w:sz w:val="22"/>
          <w:szCs w:val="22"/>
        </w:rPr>
        <w:t xml:space="preserve">Ο ιός δεν κάνει διακρίσεις στο ποιον θα τσιμπήσει, αλλά </w:t>
      </w:r>
      <w:r>
        <w:rPr>
          <w:rFonts w:ascii="Calibri" w:cs="Calibri" w:eastAsia="Calibri" w:hAnsi="Calibri"/>
          <w:b/>
          <w:bCs/>
          <w:i w:val="false"/>
          <w:iCs w:val="false"/>
          <w:color w:val="22303A"/>
          <w:sz w:val="22"/>
          <w:szCs w:val="22"/>
        </w:rPr>
        <w:t xml:space="preserve">δεν βλάπτει όλους το ίδιο</w:t>
      </w:r>
      <w:r>
        <w:rPr>
          <w:rFonts w:ascii="Calibri" w:cs="Calibri" w:eastAsia="Calibri" w:hAnsi="Calibri"/>
          <w:b w:val="false"/>
          <w:bCs w:val="false"/>
          <w:i w:val="false"/>
          <w:iCs w:val="false"/>
          <w:color w:val="22303A"/>
          <w:sz w:val="22"/>
          <w:szCs w:val="22"/>
        </w:rPr>
        <w:t>. Σοβαρά κινδυνεύουν περισσότερο:</w:t>
      </w:r>
    </w:p>
    <w:p>
      <w:pPr>
        <w:pStyle w:val="ListParagraph"/>
        <w:numPr>
          <w:ilvl w:val="0"/>
          <w:numId w:val="3"/>
        </w:numPr>
        <w:spacing w:after="90" w:line="300"/>
      </w:pPr>
      <w:r>
        <w:rPr>
          <w:rFonts w:ascii="Calibri" w:cs="Calibri" w:eastAsia="Calibri" w:hAnsi="Calibri"/>
          <w:b/>
          <w:bCs/>
          <w:i w:val="false"/>
          <w:iCs w:val="false"/>
          <w:color w:val="22303A"/>
          <w:sz w:val="22"/>
          <w:szCs w:val="22"/>
        </w:rPr>
        <w:t xml:space="preserve">Άτομα άνω των 50 ετών</w:t>
      </w:r>
      <w:r>
        <w:rPr>
          <w:rFonts w:ascii="Calibri" w:cs="Calibri" w:eastAsia="Calibri" w:hAnsi="Calibri"/>
          <w:b w:val="false"/>
          <w:bCs w:val="false"/>
          <w:i w:val="false"/>
          <w:iCs w:val="false"/>
          <w:color w:val="22303A"/>
          <w:sz w:val="22"/>
          <w:szCs w:val="22"/>
        </w:rPr>
        <w:t xml:space="preserve"> — και ιδιαίτερα άνω των 65</w:t>
      </w:r>
    </w:p>
    <w:p>
      <w:pPr>
        <w:pStyle w:val="ListParagraph"/>
        <w:numPr>
          <w:ilvl w:val="0"/>
          <w:numId w:val="3"/>
        </w:numPr>
        <w:spacing w:after="90" w:line="300"/>
      </w:pPr>
      <w:r>
        <w:rPr>
          <w:rFonts w:ascii="Calibri" w:cs="Calibri" w:eastAsia="Calibri" w:hAnsi="Calibri"/>
          <w:b/>
          <w:bCs/>
          <w:i w:val="false"/>
          <w:iCs w:val="false"/>
          <w:color w:val="22303A"/>
          <w:sz w:val="22"/>
          <w:szCs w:val="22"/>
        </w:rPr>
        <w:t xml:space="preserve">Άτομα με σακχαρώδη διαβήτη</w:t>
      </w:r>
    </w:p>
    <w:p>
      <w:pPr>
        <w:pStyle w:val="ListParagraph"/>
        <w:numPr>
          <w:ilvl w:val="0"/>
          <w:numId w:val="3"/>
        </w:numPr>
        <w:spacing w:after="90" w:line="300"/>
      </w:pPr>
      <w:r>
        <w:rPr>
          <w:rFonts w:ascii="Calibri" w:cs="Calibri" w:eastAsia="Calibri" w:hAnsi="Calibri"/>
          <w:b/>
          <w:bCs/>
          <w:i w:val="false"/>
          <w:iCs w:val="false"/>
          <w:color w:val="22303A"/>
          <w:sz w:val="22"/>
          <w:szCs w:val="22"/>
        </w:rPr>
        <w:t xml:space="preserve">Άτομα με χρόνια νοσήματα</w:t>
      </w:r>
      <w:r>
        <w:rPr>
          <w:rFonts w:ascii="Calibri" w:cs="Calibri" w:eastAsia="Calibri" w:hAnsi="Calibri"/>
          <w:b w:val="false"/>
          <w:bCs w:val="false"/>
          <w:i w:val="false"/>
          <w:iCs w:val="false"/>
          <w:color w:val="22303A"/>
          <w:sz w:val="22"/>
          <w:szCs w:val="22"/>
        </w:rPr>
        <w:t xml:space="preserve"> (καρδιαγγειακά, νεφρική ανεπάρκεια, υπέρταση)</w:t>
      </w:r>
    </w:p>
    <w:p>
      <w:pPr>
        <w:pStyle w:val="ListParagraph"/>
        <w:numPr>
          <w:ilvl w:val="0"/>
          <w:numId w:val="3"/>
        </w:numPr>
        <w:spacing w:after="90" w:line="300"/>
      </w:pPr>
      <w:r>
        <w:rPr>
          <w:rFonts w:ascii="Calibri" w:cs="Calibri" w:eastAsia="Calibri" w:hAnsi="Calibri"/>
          <w:b/>
          <w:bCs/>
          <w:i w:val="false"/>
          <w:iCs w:val="false"/>
          <w:color w:val="22303A"/>
          <w:sz w:val="22"/>
          <w:szCs w:val="22"/>
        </w:rPr>
        <w:t xml:space="preserve">Άτομα με εξασθενημένο ανοσοποιητικό</w:t>
      </w:r>
      <w:r>
        <w:rPr>
          <w:rFonts w:ascii="Calibri" w:cs="Calibri" w:eastAsia="Calibri" w:hAnsi="Calibri"/>
          <w:b w:val="false"/>
          <w:bCs w:val="false"/>
          <w:i w:val="false"/>
          <w:iCs w:val="false"/>
          <w:color w:val="22303A"/>
          <w:sz w:val="22"/>
          <w:szCs w:val="22"/>
        </w:rPr>
        <w:t>: υπό χημειοθεραπεία, κορτιζόνη ή άλλες αγωγές που μειώνουν την άμυνα, καθώς και μεταμοσχευμένοι</w:t>
      </w:r>
    </w:p>
    <w:p>
      <w:pPr>
        <w:spacing w:after="140" w:line="300"/>
      </w:pPr>
      <w:r>
        <w:rPr>
          <w:rFonts w:ascii="Calibri" w:cs="Calibri" w:eastAsia="Calibri" w:hAnsi="Calibri"/>
          <w:b/>
          <w:bCs/>
          <w:i w:val="false"/>
          <w:iCs w:val="false"/>
          <w:color w:val="123A55"/>
          <w:sz w:val="22"/>
          <w:szCs w:val="22"/>
        </w:rPr>
        <w:t xml:space="preserve">Αν ανήκετε σε μία από αυτές τις ομάδες, ή φροντίζετε κάποιον που ανήκει, η προστασία από τα κουνούπια δεν είναι προαιρετική.</w:t>
      </w:r>
    </w:p>
    <w:p>
      <w:pPr>
        <w:pBdr>
          <w:bottom w:val="single" w:color="2E8B8B" w:sz="10" w:space="5"/>
        </w:pBdr>
        <w:spacing w:after="160" w:before="320"/>
      </w:pPr>
      <w:r>
        <w:rPr>
          <w:rFonts w:ascii="Calibri" w:cs="Calibri" w:eastAsia="Calibri" w:hAnsi="Calibri"/>
          <w:b/>
          <w:bCs/>
          <w:color w:val="123A55"/>
          <w:sz w:val="30"/>
          <w:szCs w:val="30"/>
        </w:rPr>
        <w:t xml:space="preserve">7.  Τι συμβαίνει φέτος στην Ελλάδα</w:t>
      </w:r>
    </w:p>
    <w:p>
      <w:pPr>
        <w:spacing w:after="140" w:line="300"/>
      </w:pPr>
      <w:r>
        <w:rPr>
          <w:rFonts w:ascii="Calibri" w:cs="Calibri" w:eastAsia="Calibri" w:hAnsi="Calibri"/>
          <w:b w:val="false"/>
          <w:bCs w:val="false"/>
          <w:i w:val="false"/>
          <w:iCs w:val="false"/>
          <w:color w:val="22303A"/>
          <w:sz w:val="22"/>
          <w:szCs w:val="22"/>
        </w:rPr>
        <w:t xml:space="preserve">Η φετινή χρονιά είναι </w:t>
      </w:r>
      <w:r>
        <w:rPr>
          <w:rFonts w:ascii="Calibri" w:cs="Calibri" w:eastAsia="Calibri" w:hAnsi="Calibri"/>
          <w:b/>
          <w:bCs/>
          <w:i w:val="false"/>
          <w:iCs w:val="false"/>
          <w:color w:val="22303A"/>
          <w:sz w:val="22"/>
          <w:szCs w:val="22"/>
        </w:rPr>
        <w:t xml:space="preserve">σαφώς βαρύτερη από τις προηγούμενες</w:t>
      </w:r>
      <w:r>
        <w:rPr>
          <w:rFonts w:ascii="Calibri" w:cs="Calibri" w:eastAsia="Calibri" w:hAnsi="Calibri"/>
          <w:b w:val="false"/>
          <w:bCs w:val="false"/>
          <w:i w:val="false"/>
          <w:iCs w:val="false"/>
          <w:color w:val="22303A"/>
          <w:sz w:val="22"/>
          <w:szCs w:val="22"/>
        </w:rPr>
        <w:t xml:space="preserve">. Σύμφωνα με τα επίσημα στοιχεία του ΕΟΔΥ έως τις 19 Αυγούστου 2026:</w:t>
      </w:r>
    </w:p>
    <w:tbl>
      <w:tblPr>
        <w:tblW w:type="dxa" w:w="9360"/>
        <w:tblBorders>
          <w:top w:val="single" w:color="C9DDE0" w:sz="4"/>
          <w:left w:val="none" w:color="FFFFFF" w:sz="0"/>
          <w:bottom w:val="single" w:color="C9DDE0" w:sz="4"/>
          <w:right w:val="none" w:color="FFFFFF" w:sz="0"/>
          <w:insideH w:val="single" w:color="C9DDE0" w:sz="2"/>
          <w:insideV w:val="none" w:color="FFFFFF" w:sz="0"/>
        </w:tblBorders>
      </w:tblPr>
      <w:tblGrid>
        <w:gridCol w:w="3960"/>
        <w:gridCol w:w="2700"/>
        <w:gridCol w:w="2700"/>
      </w:tblGrid>
      <w:tr>
        <w:trPr>
          <w:tblHeader/>
        </w:trPr>
        <w:tc>
          <w:tcPr>
            <w:tcW w:type="dxa" w:w="3960"/>
            <w:shd w:fill="123A55" w:color="auto" w:val="clear"/>
            <w:tcMar>
              <w:top w:type="dxa" w:w="90"/>
              <w:left w:type="dxa" w:w="140"/>
              <w:bottom w:type="dxa" w:w="90"/>
              <w:right w:type="dxa" w:w="140"/>
            </w:tcMar>
          </w:tcPr>
          <w:p>
            <w:pPr>
              <w:spacing w:after="0"/>
              <w:jc w:val="left"/>
            </w:pPr>
            <w:r>
              <w:rPr>
                <w:rFonts w:ascii="Calibri" w:cs="Calibri" w:eastAsia="Calibri" w:hAnsi="Calibri"/>
                <w:b w:val="false"/>
                <w:bCs w:val="false"/>
                <w:i w:val="false"/>
                <w:iCs w:val="false"/>
                <w:color w:val="22303A"/>
                <w:sz w:val="21"/>
                <w:szCs w:val="21"/>
              </w:rPr>
              <w:t xml:space="preserve"/>
            </w:r>
          </w:p>
        </w:tc>
        <w:tc>
          <w:tcPr>
            <w:tcW w:type="dxa" w:w="2700"/>
            <w:shd w:fill="123A55" w:color="auto" w:val="clear"/>
            <w:tcMar>
              <w:top w:type="dxa" w:w="90"/>
              <w:left w:type="dxa" w:w="140"/>
              <w:bottom w:type="dxa" w:w="90"/>
              <w:right w:type="dxa" w:w="140"/>
            </w:tcMar>
          </w:tcPr>
          <w:p>
            <w:pPr>
              <w:spacing w:after="0"/>
              <w:jc w:val="center"/>
            </w:pPr>
            <w:r>
              <w:rPr>
                <w:rFonts w:ascii="Calibri" w:cs="Calibri" w:eastAsia="Calibri" w:hAnsi="Calibri"/>
                <w:b/>
                <w:bCs/>
                <w:i w:val="false"/>
                <w:iCs w:val="false"/>
                <w:color w:val="FFFFFF"/>
                <w:sz w:val="21"/>
                <w:szCs w:val="21"/>
              </w:rPr>
              <w:t xml:space="preserve">2026 (έως 19/8)</w:t>
            </w:r>
          </w:p>
        </w:tc>
        <w:tc>
          <w:tcPr>
            <w:tcW w:type="dxa" w:w="2700"/>
            <w:shd w:fill="123A55" w:color="auto" w:val="clear"/>
            <w:tcMar>
              <w:top w:type="dxa" w:w="90"/>
              <w:left w:type="dxa" w:w="140"/>
              <w:bottom w:type="dxa" w:w="90"/>
              <w:right w:type="dxa" w:w="140"/>
            </w:tcMar>
          </w:tcPr>
          <w:p>
            <w:pPr>
              <w:spacing w:after="0"/>
              <w:jc w:val="center"/>
            </w:pPr>
            <w:r>
              <w:rPr>
                <w:rFonts w:ascii="Calibri" w:cs="Calibri" w:eastAsia="Calibri" w:hAnsi="Calibri"/>
                <w:b/>
                <w:bCs/>
                <w:i w:val="false"/>
                <w:iCs w:val="false"/>
                <w:color w:val="FFFFFF"/>
                <w:sz w:val="21"/>
                <w:szCs w:val="21"/>
              </w:rPr>
              <w:t xml:space="preserve">Όλο το 2025</w:t>
            </w:r>
          </w:p>
        </w:tc>
      </w:tr>
      <w:tr>
        <w:tc>
          <w:tcPr>
            <w:tcW w:type="dxa" w:w="3960"/>
            <w:shd w:fill="FFFFFF" w:color="auto" w:val="clear"/>
            <w:tcMar>
              <w:top w:type="dxa" w:w="90"/>
              <w:left w:type="dxa" w:w="140"/>
              <w:bottom w:type="dxa" w:w="90"/>
              <w:right w:type="dxa" w:w="140"/>
            </w:tcMar>
          </w:tcPr>
          <w:p>
            <w:pPr>
              <w:spacing w:after="0"/>
              <w:jc w:val="left"/>
            </w:pPr>
            <w:r>
              <w:rPr>
                <w:rFonts w:ascii="Calibri" w:cs="Calibri" w:eastAsia="Calibri" w:hAnsi="Calibri"/>
                <w:b/>
                <w:bCs/>
                <w:i w:val="false"/>
                <w:iCs w:val="false"/>
                <w:color w:val="22303A"/>
                <w:sz w:val="21"/>
                <w:szCs w:val="21"/>
              </w:rPr>
              <w:t xml:space="preserve">Κρούσματα</w:t>
            </w:r>
          </w:p>
        </w:tc>
        <w:tc>
          <w:tcPr>
            <w:tcW w:type="dxa" w:w="2700"/>
            <w:shd w:fill="FFFFFF" w:color="auto" w:val="clear"/>
            <w:tcMar>
              <w:top w:type="dxa" w:w="90"/>
              <w:left w:type="dxa" w:w="140"/>
              <w:bottom w:type="dxa" w:w="90"/>
              <w:right w:type="dxa" w:w="140"/>
            </w:tcMar>
          </w:tcPr>
          <w:p>
            <w:pPr>
              <w:spacing w:after="0"/>
              <w:jc w:val="center"/>
            </w:pPr>
            <w:r>
              <w:rPr>
                <w:rFonts w:ascii="Calibri" w:cs="Calibri" w:eastAsia="Calibri" w:hAnsi="Calibri"/>
                <w:b/>
                <w:bCs/>
                <w:i w:val="false"/>
                <w:iCs w:val="false"/>
                <w:color w:val="123A55"/>
                <w:sz w:val="21"/>
                <w:szCs w:val="21"/>
              </w:rPr>
              <w:t xml:space="preserve">157</w:t>
            </w:r>
          </w:p>
        </w:tc>
        <w:tc>
          <w:tcPr>
            <w:tcW w:type="dxa" w:w="2700"/>
            <w:shd w:fill="FFFFFF" w:color="auto" w:val="clear"/>
            <w:tcMar>
              <w:top w:type="dxa" w:w="90"/>
              <w:left w:type="dxa" w:w="140"/>
              <w:bottom w:type="dxa" w:w="90"/>
              <w:right w:type="dxa" w:w="140"/>
            </w:tcMar>
          </w:tcPr>
          <w:p>
            <w:pPr>
              <w:spacing w:after="0"/>
              <w:jc w:val="center"/>
            </w:pPr>
            <w:r>
              <w:rPr>
                <w:rFonts w:ascii="Calibri" w:cs="Calibri" w:eastAsia="Calibri" w:hAnsi="Calibri"/>
                <w:b w:val="false"/>
                <w:bCs w:val="false"/>
                <w:i w:val="false"/>
                <w:iCs w:val="false"/>
                <w:color w:val="22303A"/>
                <w:sz w:val="21"/>
                <w:szCs w:val="21"/>
              </w:rPr>
              <w:t xml:space="preserve">96</w:t>
            </w:r>
          </w:p>
        </w:tc>
      </w:tr>
      <w:tr>
        <w:tc>
          <w:tcPr>
            <w:tcW w:type="dxa" w:w="3960"/>
            <w:shd w:fill="F6FAFB" w:color="auto" w:val="clear"/>
            <w:tcMar>
              <w:top w:type="dxa" w:w="90"/>
              <w:left w:type="dxa" w:w="140"/>
              <w:bottom w:type="dxa" w:w="90"/>
              <w:right w:type="dxa" w:w="140"/>
            </w:tcMar>
          </w:tcPr>
          <w:p>
            <w:pPr>
              <w:spacing w:after="0"/>
              <w:jc w:val="left"/>
            </w:pPr>
            <w:r>
              <w:rPr>
                <w:rFonts w:ascii="Calibri" w:cs="Calibri" w:eastAsia="Calibri" w:hAnsi="Calibri"/>
                <w:b/>
                <w:bCs/>
                <w:i w:val="false"/>
                <w:iCs w:val="false"/>
                <w:color w:val="22303A"/>
                <w:sz w:val="21"/>
                <w:szCs w:val="21"/>
              </w:rPr>
              <w:t xml:space="preserve">Με προσβολή νευρικού συστήματος</w:t>
            </w:r>
          </w:p>
        </w:tc>
        <w:tc>
          <w:tcPr>
            <w:tcW w:type="dxa" w:w="2700"/>
            <w:shd w:fill="F6FAFB" w:color="auto" w:val="clear"/>
            <w:tcMar>
              <w:top w:type="dxa" w:w="90"/>
              <w:left w:type="dxa" w:w="140"/>
              <w:bottom w:type="dxa" w:w="90"/>
              <w:right w:type="dxa" w:w="140"/>
            </w:tcMar>
          </w:tcPr>
          <w:p>
            <w:pPr>
              <w:spacing w:after="0"/>
              <w:jc w:val="center"/>
            </w:pPr>
            <w:r>
              <w:rPr>
                <w:rFonts w:ascii="Calibri" w:cs="Calibri" w:eastAsia="Calibri" w:hAnsi="Calibri"/>
                <w:b/>
                <w:bCs/>
                <w:i w:val="false"/>
                <w:iCs w:val="false"/>
                <w:color w:val="123A55"/>
                <w:sz w:val="21"/>
                <w:szCs w:val="21"/>
              </w:rPr>
              <w:t xml:space="preserve">116</w:t>
            </w:r>
          </w:p>
        </w:tc>
        <w:tc>
          <w:tcPr>
            <w:tcW w:type="dxa" w:w="2700"/>
            <w:shd w:fill="F6FAFB" w:color="auto" w:val="clear"/>
            <w:tcMar>
              <w:top w:type="dxa" w:w="90"/>
              <w:left w:type="dxa" w:w="140"/>
              <w:bottom w:type="dxa" w:w="90"/>
              <w:right w:type="dxa" w:w="140"/>
            </w:tcMar>
          </w:tcPr>
          <w:p>
            <w:pPr>
              <w:spacing w:after="0"/>
              <w:jc w:val="center"/>
            </w:pPr>
            <w:r>
              <w:rPr>
                <w:rFonts w:ascii="Calibri" w:cs="Calibri" w:eastAsia="Calibri" w:hAnsi="Calibri"/>
                <w:b w:val="false"/>
                <w:bCs w:val="false"/>
                <w:i w:val="false"/>
                <w:iCs w:val="false"/>
                <w:color w:val="22303A"/>
                <w:sz w:val="21"/>
                <w:szCs w:val="21"/>
              </w:rPr>
              <w:t xml:space="preserve">76</w:t>
            </w:r>
          </w:p>
        </w:tc>
      </w:tr>
      <w:tr>
        <w:tc>
          <w:tcPr>
            <w:tcW w:type="dxa" w:w="3960"/>
            <w:shd w:fill="FFFFFF" w:color="auto" w:val="clear"/>
            <w:tcMar>
              <w:top w:type="dxa" w:w="90"/>
              <w:left w:type="dxa" w:w="140"/>
              <w:bottom w:type="dxa" w:w="90"/>
              <w:right w:type="dxa" w:w="140"/>
            </w:tcMar>
          </w:tcPr>
          <w:p>
            <w:pPr>
              <w:spacing w:after="0"/>
              <w:jc w:val="left"/>
            </w:pPr>
            <w:r>
              <w:rPr>
                <w:rFonts w:ascii="Calibri" w:cs="Calibri" w:eastAsia="Calibri" w:hAnsi="Calibri"/>
                <w:b/>
                <w:bCs/>
                <w:i w:val="false"/>
                <w:iCs w:val="false"/>
                <w:color w:val="22303A"/>
                <w:sz w:val="21"/>
                <w:szCs w:val="21"/>
              </w:rPr>
              <w:t xml:space="preserve">Θάνατοι</w:t>
            </w:r>
          </w:p>
        </w:tc>
        <w:tc>
          <w:tcPr>
            <w:tcW w:type="dxa" w:w="2700"/>
            <w:shd w:fill="FFFFFF" w:color="auto" w:val="clear"/>
            <w:tcMar>
              <w:top w:type="dxa" w:w="90"/>
              <w:left w:type="dxa" w:w="140"/>
              <w:bottom w:type="dxa" w:w="90"/>
              <w:right w:type="dxa" w:w="140"/>
            </w:tcMar>
          </w:tcPr>
          <w:p>
            <w:pPr>
              <w:spacing w:after="0"/>
              <w:jc w:val="center"/>
            </w:pPr>
            <w:r>
              <w:rPr>
                <w:rFonts w:ascii="Calibri" w:cs="Calibri" w:eastAsia="Calibri" w:hAnsi="Calibri"/>
                <w:b/>
                <w:bCs/>
                <w:i w:val="false"/>
                <w:iCs w:val="false"/>
                <w:color w:val="123A55"/>
                <w:sz w:val="21"/>
                <w:szCs w:val="21"/>
              </w:rPr>
              <w:t xml:space="preserve">13</w:t>
            </w:r>
          </w:p>
        </w:tc>
        <w:tc>
          <w:tcPr>
            <w:tcW w:type="dxa" w:w="2700"/>
            <w:shd w:fill="FFFFFF" w:color="auto" w:val="clear"/>
            <w:tcMar>
              <w:top w:type="dxa" w:w="90"/>
              <w:left w:type="dxa" w:w="140"/>
              <w:bottom w:type="dxa" w:w="90"/>
              <w:right w:type="dxa" w:w="140"/>
            </w:tcMar>
          </w:tcPr>
          <w:p>
            <w:pPr>
              <w:spacing w:after="0"/>
              <w:jc w:val="center"/>
            </w:pPr>
            <w:r>
              <w:rPr>
                <w:rFonts w:ascii="Calibri" w:cs="Calibri" w:eastAsia="Calibri" w:hAnsi="Calibri"/>
                <w:b w:val="false"/>
                <w:bCs w:val="false"/>
                <w:i w:val="false"/>
                <w:iCs w:val="false"/>
                <w:color w:val="22303A"/>
                <w:sz w:val="21"/>
                <w:szCs w:val="21"/>
              </w:rPr>
              <w:t xml:space="preserve">9</w:t>
            </w:r>
          </w:p>
        </w:tc>
      </w:tr>
    </w:tbl>
    <w:p>
      <w:pPr>
        <w:spacing w:after="100" w:line="300"/>
      </w:pPr>
      <w:r>
        <w:rPr>
          <w:rFonts w:ascii="Calibri" w:cs="Calibri" w:eastAsia="Calibri" w:hAnsi="Calibri"/>
          <w:color w:val="22303A"/>
          <w:sz w:val="22"/>
          <w:szCs w:val="22"/>
        </w:rPr>
        <w:t xml:space="preserve"/>
      </w:r>
    </w:p>
    <w:p>
      <w:pPr>
        <w:spacing w:after="140" w:line="300"/>
      </w:pPr>
      <w:r>
        <w:rPr>
          <w:rFonts w:ascii="Calibri" w:cs="Calibri" w:eastAsia="Calibri" w:hAnsi="Calibri"/>
          <w:b/>
          <w:bCs/>
          <w:i w:val="false"/>
          <w:iCs w:val="false"/>
          <w:color w:val="22303A"/>
          <w:sz w:val="22"/>
          <w:szCs w:val="22"/>
        </w:rPr>
        <w:t xml:space="preserve">Μόνο μέσα σε μία εβδομάδα καταγράφηκαν 47 νέα κρούσματα.</w:t>
      </w:r>
    </w:p>
    <w:p>
      <w:pPr>
        <w:spacing w:after="140" w:line="300"/>
      </w:pPr>
      <w:r>
        <w:rPr>
          <w:rFonts w:ascii="Calibri" w:cs="Calibri" w:eastAsia="Calibri" w:hAnsi="Calibri"/>
          <w:b/>
          <w:bCs/>
          <w:i w:val="false"/>
          <w:iCs w:val="false"/>
          <w:color w:val="123A55"/>
          <w:sz w:val="22"/>
          <w:szCs w:val="22"/>
        </w:rPr>
        <w:t xml:space="preserve">Πού: </w:t>
      </w:r>
      <w:r>
        <w:rPr>
          <w:rFonts w:ascii="Calibri" w:cs="Calibri" w:eastAsia="Calibri" w:hAnsi="Calibri"/>
          <w:b w:val="false"/>
          <w:bCs w:val="false"/>
          <w:i w:val="false"/>
          <w:iCs w:val="false"/>
          <w:color w:val="22303A"/>
          <w:sz w:val="22"/>
          <w:szCs w:val="22"/>
        </w:rPr>
        <w:t xml:space="preserve">Κρούσματα έχουν καταγραφεί σε Αττική, Θεσσαλία, Κεντρική Μακεδονία, Πελοπόννησο και Στερεά Ελλάδα. Το επίκεντρο είναι η Αττική — και ιδίως η ανατολική Αττική.</w:t>
      </w:r>
    </w:p>
    <w:p>
      <w:pPr>
        <w:spacing w:after="140" w:line="300"/>
      </w:pPr>
      <w:r>
        <w:rPr>
          <w:rFonts w:ascii="Calibri" w:cs="Calibri" w:eastAsia="Calibri" w:hAnsi="Calibri"/>
          <w:b/>
          <w:bCs/>
          <w:i w:val="false"/>
          <w:iCs w:val="false"/>
          <w:color w:val="123A55"/>
          <w:sz w:val="22"/>
          <w:szCs w:val="22"/>
        </w:rPr>
        <w:t xml:space="preserve">Τι να περιμένουμε: </w:t>
      </w:r>
      <w:r>
        <w:rPr>
          <w:rFonts w:ascii="Calibri" w:cs="Calibri" w:eastAsia="Calibri" w:hAnsi="Calibri"/>
          <w:b w:val="false"/>
          <w:bCs w:val="false"/>
          <w:i w:val="false"/>
          <w:iCs w:val="false"/>
          <w:color w:val="22303A"/>
          <w:sz w:val="22"/>
          <w:szCs w:val="22"/>
        </w:rPr>
        <w:t xml:space="preserve">Ο ΕΟΔΥ επισημαίνει ότι η κορύφωση συμβαίνει συνήθως από τα μέσα Αυγούστου έως τις αρχές Σεπτεμβρίου, οπότε αναμένονται περισσότερα κρούσματα τις επόμενες εβδομάδες. Η περίοδος κινδύνου διαρκεί όσο κυκλοφορούν τα κουνούπια, δηλαδή συνήθως μέχρι τον Οκτώβριο.</w:t>
      </w:r>
    </w:p>
    <w:p>
      <w:pPr>
        <w:spacing w:after="140" w:line="300"/>
      </w:pPr>
      <w:r>
        <w:rPr>
          <w:rFonts w:ascii="Calibri" w:cs="Calibri" w:eastAsia="Calibri" w:hAnsi="Calibri"/>
          <w:b w:val="false"/>
          <w:bCs w:val="false"/>
          <w:i w:val="false"/>
          <w:iCs w:val="false"/>
          <w:color w:val="22303A"/>
          <w:sz w:val="22"/>
          <w:szCs w:val="22"/>
        </w:rPr>
        <w:t>Σύμφωνα με τα στοιχεία του ECDC έως 21/08/2026, η Ελλάδα βρίσκεται στη δεύτερη θέση στην Ευρώπη σε αριθμό κρουσμάτων, μετά την Ιταλία.</w:t>
      </w:r>
    </w:p>
    <w:p>
      <w:pPr>
        <w:pBdr>
          <w:bottom w:val="single" w:color="2E8B8B" w:sz="10" w:space="5"/>
        </w:pBdr>
        <w:spacing w:after="160" w:before="320"/>
      </w:pPr>
      <w:r>
        <w:rPr>
          <w:rFonts w:ascii="Calibri" w:cs="Calibri" w:eastAsia="Calibri" w:hAnsi="Calibri"/>
          <w:b/>
          <w:bCs/>
          <w:color w:val="123A55"/>
          <w:sz w:val="30"/>
          <w:szCs w:val="30"/>
        </w:rPr>
        <w:t xml:space="preserve">8.  Υπάρχει αιτία που αυξάνονται τα κρούσματα;</w:t>
      </w:r>
    </w:p>
    <w:p>
      <w:pPr>
        <w:spacing w:after="140" w:line="300"/>
      </w:pPr>
      <w:r>
        <w:rPr>
          <w:rFonts w:ascii="Calibri" w:cs="Calibri" w:eastAsia="Calibri" w:hAnsi="Calibri"/>
          <w:color w:val="22303A"/>
          <w:sz w:val="22"/>
          <w:szCs w:val="22"/>
        </w:rPr>
        <w:t xml:space="preserve">Δεν πρόκειται για κάποια «νέα, πιο επιθετική» μορφή του ιού. Οι λόγοι είναι περιβαλλοντικοί:</w:t>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Οι θερμότερες και μακρύτερες θερμές περίοδοι</w:t>
      </w:r>
      <w:r>
        <w:rPr>
          <w:rFonts w:ascii="Calibri" w:cs="Calibri" w:eastAsia="Calibri" w:hAnsi="Calibri"/>
          <w:b w:val="false"/>
          <w:bCs w:val="false"/>
          <w:i w:val="false"/>
          <w:iCs w:val="false"/>
          <w:color w:val="22303A"/>
          <w:sz w:val="22"/>
          <w:szCs w:val="22"/>
        </w:rPr>
        <w:t xml:space="preserve"> αυξάνουν τον πληθυσμό των κουνουπιών και επιμηκύνουν το διάστημα μέσα στο οποίο μπορούν να μεταδώσουν τον ιό.</w:t>
      </w:r>
    </w:p>
    <w:p>
      <w:pPr>
        <w:pStyle w:val="ListParagraph"/>
        <w:numPr>
          <w:ilvl w:val="0"/>
          <w:numId w:val="2"/>
        </w:numPr>
        <w:spacing w:after="90" w:line="300"/>
      </w:pPr>
      <w:r>
        <w:rPr>
          <w:rFonts w:ascii="Calibri" w:cs="Calibri" w:eastAsia="Calibri" w:hAnsi="Calibri"/>
          <w:b w:val="false"/>
          <w:bCs w:val="false"/>
          <w:i w:val="false"/>
          <w:iCs w:val="false"/>
          <w:color w:val="22303A"/>
          <w:sz w:val="22"/>
          <w:szCs w:val="22"/>
        </w:rPr>
        <w:t xml:space="preserve">Η ίδια τάση καταγράφεται σε όλη την Ευρώπη: φέτος έχουν αναφερθεί κρούσματα σε </w:t>
      </w:r>
      <w:r>
        <w:rPr>
          <w:rFonts w:ascii="Calibri" w:cs="Calibri" w:eastAsia="Calibri" w:hAnsi="Calibri"/>
          <w:b/>
          <w:bCs/>
          <w:i w:val="false"/>
          <w:iCs w:val="false"/>
          <w:color w:val="22303A"/>
          <w:sz w:val="22"/>
          <w:szCs w:val="22"/>
        </w:rPr>
        <w:t xml:space="preserve">12 χώρες</w:t>
      </w:r>
      <w:r>
        <w:rPr>
          <w:rFonts w:ascii="Calibri" w:cs="Calibri" w:eastAsia="Calibri" w:hAnsi="Calibri"/>
          <w:b w:val="false"/>
          <w:bCs w:val="false"/>
          <w:i w:val="false"/>
          <w:iCs w:val="false"/>
          <w:color w:val="22303A"/>
          <w:sz w:val="22"/>
          <w:szCs w:val="22"/>
        </w:rPr>
        <w:t xml:space="preserve">, αρκετές από αυτές σε περιοχές που δεν είχαν ποτέ ξανά κρούσματα.</w:t>
      </w:r>
    </w:p>
    <w:p>
      <w:pPr>
        <w:pBdr>
          <w:bottom w:val="single" w:color="2E8B8B" w:sz="10" w:space="5"/>
        </w:pBdr>
        <w:spacing w:after="160" w:before="320"/>
      </w:pPr>
      <w:r>
        <w:rPr>
          <w:rFonts w:ascii="Calibri" w:cs="Calibri" w:eastAsia="Calibri" w:hAnsi="Calibri"/>
          <w:b/>
          <w:bCs/>
          <w:color w:val="123A55"/>
          <w:sz w:val="30"/>
          <w:szCs w:val="30"/>
        </w:rPr>
        <w:t xml:space="preserve">9.  Υπάρχει εμβόλιο ή φάρμακο;</w:t>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Δεν υπάρχει εμβόλιο</w:t>
      </w:r>
      <w:r>
        <w:rPr>
          <w:rFonts w:ascii="Calibri" w:cs="Calibri" w:eastAsia="Calibri" w:hAnsi="Calibri"/>
          <w:b w:val="false"/>
          <w:bCs w:val="false"/>
          <w:i w:val="false"/>
          <w:iCs w:val="false"/>
          <w:color w:val="22303A"/>
          <w:sz w:val="22"/>
          <w:szCs w:val="22"/>
        </w:rPr>
        <w:t xml:space="preserve"> για τον άνθρωπο. Γίνονται έρευνες, αλλά κανένα εμβόλιο δεν έχει εγκριθεί μέχρι σήμερα.</w:t>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Δεν υπάρχει ειδικό αντιιικό φάρμακο.</w:t>
      </w:r>
      <w:r>
        <w:rPr>
          <w:rFonts w:ascii="Calibri" w:cs="Calibri" w:eastAsia="Calibri" w:hAnsi="Calibri"/>
          <w:b w:val="false"/>
          <w:bCs w:val="false"/>
          <w:i w:val="false"/>
          <w:iCs w:val="false"/>
          <w:color w:val="22303A"/>
          <w:sz w:val="22"/>
          <w:szCs w:val="22"/>
        </w:rPr>
        <w:t xml:space="preserve"> Τα αντιβιοτικά δεν έχουν καμία θέση — ο ιός δεν είναι μικρόβιο.</w:t>
      </w:r>
    </w:p>
    <w:p>
      <w:pPr>
        <w:pStyle w:val="ListParagraph"/>
        <w:numPr>
          <w:ilvl w:val="0"/>
          <w:numId w:val="2"/>
        </w:numPr>
        <w:spacing w:after="90" w:line="300"/>
      </w:pPr>
      <w:r>
        <w:rPr>
          <w:rFonts w:ascii="Calibri" w:cs="Calibri" w:eastAsia="Calibri" w:hAnsi="Calibri"/>
          <w:b w:val="false"/>
          <w:bCs w:val="false"/>
          <w:i w:val="false"/>
          <w:iCs w:val="false"/>
          <w:color w:val="22303A"/>
          <w:sz w:val="22"/>
          <w:szCs w:val="22"/>
        </w:rPr>
        <w:t xml:space="preserve">Η αντιμετώπιση είναι </w:t>
      </w:r>
      <w:r>
        <w:rPr>
          <w:rFonts w:ascii="Calibri" w:cs="Calibri" w:eastAsia="Calibri" w:hAnsi="Calibri"/>
          <w:b/>
          <w:bCs/>
          <w:i w:val="false"/>
          <w:iCs w:val="false"/>
          <w:color w:val="22303A"/>
          <w:sz w:val="22"/>
          <w:szCs w:val="22"/>
        </w:rPr>
        <w:t xml:space="preserve">υποστηρικτική</w:t>
      </w:r>
      <w:r>
        <w:rPr>
          <w:rFonts w:ascii="Calibri" w:cs="Calibri" w:eastAsia="Calibri" w:hAnsi="Calibri"/>
          <w:b w:val="false"/>
          <w:bCs w:val="false"/>
          <w:i w:val="false"/>
          <w:iCs w:val="false"/>
          <w:color w:val="22303A"/>
          <w:sz w:val="22"/>
          <w:szCs w:val="22"/>
        </w:rPr>
        <w:t xml:space="preserve">: ξεκούραση, υγρά, αντιπυρετικά, και —στις σοβαρές μορφές— νοσηλεία με στενή παρακολούθηση.</w:t>
      </w:r>
    </w:p>
    <w:tbl>
      <w:tblPr>
        <w:tblW w:type="dxa" w:w="9360"/>
        <w:tblBorders>
          <w:top w:val="single" w:color="EAF2F4" w:sz="2"/>
          <w:left w:val="single" w:color="2E8B8B" w:sz="24"/>
          <w:bottom w:val="single" w:color="EAF2F4" w:sz="2"/>
          <w:right w:val="single" w:color="EAF2F4" w:sz="2"/>
          <w:insideH w:val="none" w:color="FFFFFF" w:sz="0"/>
          <w:insideV w:val="none" w:color="FFFFFF" w:sz="0"/>
        </w:tblBorders>
      </w:tblPr>
      <w:tblGrid>
        <w:gridCol w:w="9360"/>
      </w:tblGrid>
      <w:tr>
        <w:tc>
          <w:tcPr>
            <w:tcW w:type="dxa" w:w="9360"/>
            <w:shd w:fill="EAF2F4" w:color="auto" w:val="clear"/>
            <w:tcMar>
              <w:top w:type="dxa" w:w="200"/>
              <w:left w:type="dxa" w:w="240"/>
              <w:bottom w:type="dxa" w:w="200"/>
              <w:right w:type="dxa" w:w="240"/>
            </w:tcMar>
          </w:tcPr>
          <w:p>
            <w:pPr>
              <w:spacing w:after="0" w:line="300"/>
            </w:pPr>
            <w:r>
              <w:rPr>
                <w:rFonts w:ascii="Calibri" w:cs="Calibri" w:eastAsia="Calibri" w:hAnsi="Calibri"/>
                <w:b/>
                <w:bCs/>
                <w:i w:val="false"/>
                <w:iCs w:val="false"/>
                <w:color w:val="123A55"/>
                <w:sz w:val="22"/>
                <w:szCs w:val="22"/>
              </w:rPr>
              <w:t xml:space="preserve">Συνεπώς, η μόνη πραγματική άμυνα είναι η πρόληψη: να μην μας τσιμπήσει το κουνούπι.</w:t>
            </w:r>
          </w:p>
        </w:tc>
      </w:tr>
    </w:tbl>
    <w:p>
      <w:pPr>
        <w:spacing w:after="120" w:line="300"/>
      </w:pPr>
      <w:r>
        <w:rPr>
          <w:rFonts w:ascii="Calibri" w:cs="Calibri" w:eastAsia="Calibri" w:hAnsi="Calibri"/>
          <w:color w:val="22303A"/>
          <w:sz w:val="22"/>
          <w:szCs w:val="22"/>
        </w:rPr>
        <w:t xml:space="preserve"/>
      </w:r>
    </w:p>
    <w:p>
      <w:pPr>
        <w:pBdr>
          <w:bottom w:val="single" w:color="2E8B8B" w:sz="10" w:space="5"/>
        </w:pBdr>
        <w:spacing w:after="160" w:before="320"/>
      </w:pPr>
      <w:r>
        <w:rPr>
          <w:rFonts w:ascii="Calibri" w:cs="Calibri" w:eastAsia="Calibri" w:hAnsi="Calibri"/>
          <w:b/>
          <w:bCs/>
          <w:color w:val="123A55"/>
          <w:sz w:val="30"/>
          <w:szCs w:val="30"/>
        </w:rPr>
        <w:t xml:space="preserve">10.  Πώς προστατευόμαστε</w:t>
      </w:r>
    </w:p>
    <w:p>
      <w:pPr>
        <w:spacing w:after="100" w:line="300"/>
      </w:pPr>
      <w:r>
        <w:rPr>
          <w:rFonts w:ascii="Calibri" w:cs="Calibri" w:eastAsia="Calibri" w:hAnsi="Calibri"/>
          <w:b/>
          <w:bCs/>
          <w:i w:val="false"/>
          <w:iCs w:val="false"/>
          <w:color w:val="2E8B8B"/>
          <w:sz w:val="23"/>
          <w:szCs w:val="23"/>
        </w:rPr>
        <w:t xml:space="preserve">Α. Πάνω μας</w:t>
      </w:r>
    </w:p>
    <w:p>
      <w:pPr>
        <w:pStyle w:val="ListParagraph"/>
        <w:numPr>
          <w:ilvl w:val="0"/>
          <w:numId w:val="4"/>
        </w:numPr>
        <w:spacing w:after="90" w:line="300"/>
      </w:pPr>
      <w:r>
        <w:rPr>
          <w:rFonts w:ascii="Calibri" w:cs="Calibri" w:eastAsia="Calibri" w:hAnsi="Calibri"/>
          <w:b/>
          <w:bCs/>
          <w:i w:val="false"/>
          <w:iCs w:val="false"/>
          <w:color w:val="22303A"/>
          <w:sz w:val="22"/>
          <w:szCs w:val="22"/>
        </w:rPr>
        <w:t>Εντομοαπωθητικά</w:t>
      </w:r>
      <w:r>
        <w:rPr>
          <w:rFonts w:ascii="Calibri" w:cs="Calibri" w:eastAsia="Calibri" w:hAnsi="Calibri"/>
          <w:b w:val="false"/>
          <w:bCs w:val="false"/>
          <w:i w:val="false"/>
          <w:iCs w:val="false"/>
          <w:color w:val="22303A"/>
          <w:sz w:val="22"/>
          <w:szCs w:val="22"/>
        </w:rPr>
        <w:t xml:space="preserve"> σε ακάλυπτο δέρμα (εγκεκριμένα σκευάσματα, σύμφωνα με τις οδηγίες χρήσης). Επαναλάβετε την εφαρμογή σύμφωνα με τις οδηγίες του συγκεκριμένου σκευάσματος.</w:t>
      </w:r>
    </w:p>
    <w:p>
      <w:pPr>
        <w:pStyle w:val="ListParagraph"/>
        <w:numPr>
          <w:ilvl w:val="0"/>
          <w:numId w:val="4"/>
        </w:numPr>
        <w:spacing w:after="90" w:line="300"/>
      </w:pPr>
      <w:r>
        <w:rPr>
          <w:rFonts w:ascii="Calibri" w:cs="Calibri" w:eastAsia="Calibri" w:hAnsi="Calibri"/>
          <w:b/>
          <w:bCs/>
          <w:i w:val="false"/>
          <w:iCs w:val="false"/>
          <w:color w:val="22303A"/>
          <w:sz w:val="22"/>
          <w:szCs w:val="22"/>
        </w:rPr>
        <w:t xml:space="preserve">Μακριά ρούχα</w:t>
      </w:r>
      <w:r>
        <w:rPr>
          <w:rFonts w:ascii="Calibri" w:cs="Calibri" w:eastAsia="Calibri" w:hAnsi="Calibri"/>
          <w:b w:val="false"/>
          <w:bCs w:val="false"/>
          <w:i w:val="false"/>
          <w:iCs w:val="false"/>
          <w:color w:val="22303A"/>
          <w:sz w:val="22"/>
          <w:szCs w:val="22"/>
        </w:rPr>
        <w:t xml:space="preserve"> — μακρύ μανίκι και παντελόνι — ιδιαίτερα από το σούρουπο ως το ξημέρωμα, που είναι οι ώρες αιχμής των κουνουπιών.</w:t>
      </w:r>
    </w:p>
    <w:p>
      <w:pPr>
        <w:pStyle w:val="ListParagraph"/>
        <w:numPr>
          <w:ilvl w:val="0"/>
          <w:numId w:val="4"/>
        </w:numPr>
        <w:spacing w:after="90" w:line="300"/>
      </w:pPr>
      <w:r>
        <w:rPr>
          <w:rFonts w:ascii="Calibri" w:cs="Calibri" w:eastAsia="Calibri" w:hAnsi="Calibri"/>
          <w:b w:val="false"/>
          <w:bCs w:val="false"/>
          <w:i w:val="false"/>
          <w:iCs w:val="false"/>
          <w:color w:val="22303A"/>
          <w:sz w:val="22"/>
          <w:szCs w:val="22"/>
        </w:rPr>
        <w:t xml:space="preserve">Προσοχή σε </w:t>
      </w:r>
      <w:r>
        <w:rPr>
          <w:rFonts w:ascii="Calibri" w:cs="Calibri" w:eastAsia="Calibri" w:hAnsi="Calibri"/>
          <w:b/>
          <w:bCs/>
          <w:i w:val="false"/>
          <w:iCs w:val="false"/>
          <w:color w:val="22303A"/>
          <w:sz w:val="22"/>
          <w:szCs w:val="22"/>
        </w:rPr>
        <w:t xml:space="preserve">εξωτερικούς χώρους το βράδυ</w:t>
      </w:r>
      <w:r>
        <w:rPr>
          <w:rFonts w:ascii="Calibri" w:cs="Calibri" w:eastAsia="Calibri" w:hAnsi="Calibri"/>
          <w:b w:val="false"/>
          <w:bCs w:val="false"/>
          <w:i w:val="false"/>
          <w:iCs w:val="false"/>
          <w:color w:val="22303A"/>
          <w:sz w:val="22"/>
          <w:szCs w:val="22"/>
        </w:rPr>
        <w:t xml:space="preserve">: βεράντες, κήποι, ταβέρνες, γήπεδα, βόλτες.</w:t>
      </w:r>
    </w:p>
    <w:p>
      <w:pPr>
        <w:spacing w:after="100" w:line="300"/>
      </w:pPr>
      <w:r>
        <w:rPr>
          <w:rFonts w:ascii="Calibri" w:cs="Calibri" w:eastAsia="Calibri" w:hAnsi="Calibri"/>
          <w:b/>
          <w:bCs/>
          <w:i w:val="false"/>
          <w:iCs w:val="false"/>
          <w:color w:val="2E8B8B"/>
          <w:sz w:val="23"/>
          <w:szCs w:val="23"/>
        </w:rPr>
        <w:t xml:space="preserve">Β. Στο σπίτι</w:t>
      </w:r>
    </w:p>
    <w:p>
      <w:pPr>
        <w:pStyle w:val="ListParagraph"/>
        <w:numPr>
          <w:ilvl w:val="0"/>
          <w:numId w:val="4"/>
        </w:numPr>
        <w:spacing w:after="90" w:line="300"/>
      </w:pPr>
      <w:r>
        <w:rPr>
          <w:rFonts w:ascii="Calibri" w:cs="Calibri" w:eastAsia="Calibri" w:hAnsi="Calibri"/>
          <w:b/>
          <w:bCs/>
          <w:i w:val="false"/>
          <w:iCs w:val="false"/>
          <w:color w:val="22303A"/>
          <w:sz w:val="22"/>
          <w:szCs w:val="22"/>
        </w:rPr>
        <w:t xml:space="preserve">Σήτες</w:t>
      </w:r>
      <w:r>
        <w:rPr>
          <w:rFonts w:ascii="Calibri" w:cs="Calibri" w:eastAsia="Calibri" w:hAnsi="Calibri"/>
          <w:b w:val="false"/>
          <w:bCs w:val="false"/>
          <w:i w:val="false"/>
          <w:iCs w:val="false"/>
          <w:color w:val="22303A"/>
          <w:sz w:val="22"/>
          <w:szCs w:val="22"/>
        </w:rPr>
        <w:t xml:space="preserve"> σε παράθυρα και πόρτες. </w:t>
      </w:r>
      <w:r>
        <w:rPr>
          <w:rFonts w:ascii="Calibri" w:cs="Calibri" w:eastAsia="Calibri" w:hAnsi="Calibri"/>
          <w:b/>
          <w:bCs/>
          <w:i w:val="false"/>
          <w:iCs w:val="false"/>
          <w:color w:val="22303A"/>
          <w:sz w:val="22"/>
          <w:szCs w:val="22"/>
        </w:rPr>
        <w:t xml:space="preserve">Κουνουπιέρα</w:t>
      </w:r>
      <w:r>
        <w:rPr>
          <w:rFonts w:ascii="Calibri" w:cs="Calibri" w:eastAsia="Calibri" w:hAnsi="Calibri"/>
          <w:b w:val="false"/>
          <w:bCs w:val="false"/>
          <w:i w:val="false"/>
          <w:iCs w:val="false"/>
          <w:color w:val="22303A"/>
          <w:sz w:val="22"/>
          <w:szCs w:val="22"/>
        </w:rPr>
        <w:t xml:space="preserve"> στο κρεβάτι όπου χρειάζεται.</w:t>
      </w:r>
    </w:p>
    <w:p>
      <w:pPr>
        <w:pStyle w:val="ListParagraph"/>
        <w:numPr>
          <w:ilvl w:val="0"/>
          <w:numId w:val="4"/>
        </w:numPr>
        <w:spacing w:after="90" w:line="300"/>
      </w:pPr>
      <w:r>
        <w:rPr>
          <w:rFonts w:ascii="Calibri" w:cs="Calibri" w:eastAsia="Calibri" w:hAnsi="Calibri"/>
          <w:b/>
          <w:bCs/>
          <w:i w:val="false"/>
          <w:iCs w:val="false"/>
          <w:color w:val="22303A"/>
          <w:sz w:val="22"/>
          <w:szCs w:val="22"/>
        </w:rPr>
        <w:t xml:space="preserve">Κλιματιστικό ή ανεμιστήρας</w:t>
      </w:r>
      <w:r>
        <w:rPr>
          <w:rFonts w:ascii="Calibri" w:cs="Calibri" w:eastAsia="Calibri" w:hAnsi="Calibri"/>
          <w:b w:val="false"/>
          <w:bCs w:val="false"/>
          <w:i w:val="false"/>
          <w:iCs w:val="false"/>
          <w:color w:val="22303A"/>
          <w:sz w:val="22"/>
          <w:szCs w:val="22"/>
        </w:rPr>
        <w:t xml:space="preserve"> — η κίνηση του αέρα δυσκολεύει σημαντικά τα κουνούπια.</w:t>
      </w:r>
    </w:p>
    <w:p>
      <w:pPr>
        <w:pStyle w:val="ListParagraph"/>
        <w:numPr>
          <w:ilvl w:val="0"/>
          <w:numId w:val="4"/>
        </w:numPr>
        <w:spacing w:after="90" w:line="300"/>
      </w:pPr>
      <w:r>
        <w:rPr>
          <w:rFonts w:ascii="Calibri" w:cs="Calibri" w:eastAsia="Calibri" w:hAnsi="Calibri"/>
          <w:b/>
          <w:bCs/>
          <w:i w:val="false"/>
          <w:iCs w:val="false"/>
          <w:color w:val="22303A"/>
          <w:sz w:val="22"/>
          <w:szCs w:val="22"/>
        </w:rPr>
        <w:t xml:space="preserve">Εντομοαπωθητικά χώρου</w:t>
      </w:r>
      <w:r>
        <w:rPr>
          <w:rFonts w:ascii="Calibri" w:cs="Calibri" w:eastAsia="Calibri" w:hAnsi="Calibri"/>
          <w:b w:val="false"/>
          <w:bCs w:val="false"/>
          <w:i w:val="false"/>
          <w:iCs w:val="false"/>
          <w:color w:val="22303A"/>
          <w:sz w:val="22"/>
          <w:szCs w:val="22"/>
        </w:rPr>
        <w:t xml:space="preserve">, σύμφωνα με τις οδηγίες.</w:t>
      </w:r>
    </w:p>
    <w:p>
      <w:pPr>
        <w:spacing w:after="100" w:line="300"/>
      </w:pPr>
      <w:r>
        <w:rPr>
          <w:rFonts w:ascii="Calibri" w:cs="Calibri" w:eastAsia="Calibri" w:hAnsi="Calibri"/>
          <w:b/>
          <w:bCs/>
          <w:i w:val="false"/>
          <w:iCs w:val="false"/>
          <w:color w:val="2E8B8B"/>
          <w:sz w:val="23"/>
          <w:szCs w:val="23"/>
        </w:rPr>
        <w:t xml:space="preserve">Γ. Το πιο υποτιμημένο μέτρο — τα στάσιμα νερά</w:t>
      </w:r>
    </w:p>
    <w:p>
      <w:pPr>
        <w:spacing w:after="140" w:line="300"/>
      </w:pPr>
      <w:r>
        <w:rPr>
          <w:rFonts w:ascii="Calibri" w:cs="Calibri" w:eastAsia="Calibri" w:hAnsi="Calibri"/>
          <w:b w:val="false"/>
          <w:bCs w:val="false"/>
          <w:i w:val="false"/>
          <w:iCs w:val="false"/>
          <w:color w:val="22303A"/>
          <w:sz w:val="22"/>
          <w:szCs w:val="22"/>
        </w:rPr>
        <w:t>Ακόμη και μικρές ποσότητες στάσιμου νερού μπορούν να αποτελέσουν εστίες αναπαραγωγής κουνουπιών.</w:t>
      </w:r>
      <w:r>
        <w:rPr>
          <w:rFonts w:ascii="Calibri" w:cs="Calibri" w:eastAsia="Calibri" w:hAnsi="Calibri"/>
          <w:b/>
          <w:bCs/>
          <w:i w:val="false"/>
          <w:iCs w:val="false"/>
          <w:color w:val="22303A"/>
          <w:sz w:val="22"/>
          <w:szCs w:val="22"/>
        </w:rPr>
      </w:r>
      <w:r>
        <w:rPr>
          <w:rFonts w:ascii="Calibri" w:cs="Calibri" w:eastAsia="Calibri" w:hAnsi="Calibri"/>
          <w:b w:val="false"/>
          <w:bCs w:val="false"/>
          <w:i w:val="false"/>
          <w:iCs w:val="false"/>
          <w:color w:val="22303A"/>
          <w:sz w:val="22"/>
          <w:szCs w:val="22"/>
        </w:rPr>
      </w:r>
    </w:p>
    <w:p>
      <w:pPr>
        <w:spacing w:after="140" w:line="300"/>
      </w:pPr>
      <w:r>
        <w:rPr>
          <w:rFonts w:ascii="Calibri" w:cs="Calibri" w:eastAsia="Calibri" w:hAnsi="Calibri"/>
          <w:b w:val="false"/>
          <w:bCs w:val="false"/>
          <w:i w:val="false"/>
          <w:iCs w:val="false"/>
          <w:color w:val="22303A"/>
          <w:sz w:val="22"/>
          <w:szCs w:val="22"/>
        </w:rPr>
        <w:t xml:space="preserve">Για να δείτε πληρέστερα τα μέτρα που προτείνονται, δείτε το link του ΕΟΔΥ: </w:t>
      </w:r>
      <w:hyperlink w:history="1" r:id="rIdwwapdhlzkmvmgnnbcnev5">
        <w:r>
          <w:rPr>
            <w:rFonts w:ascii="Calibri" w:cs="Calibri" w:eastAsia="Calibri" w:hAnsi="Calibri"/>
            <w:color w:val="2E8B8B"/>
            <w:sz w:val="22"/>
            <w:szCs w:val="22"/>
            <w:u w:val="single"/>
          </w:rPr>
          <w:t xml:space="preserve">Προφυλαχθείτε από τα κουνούπια — ΕΟΔΥ</w:t>
        </w:r>
      </w:hyperlink>
    </w:p>
    <w:p>
      <w:pPr>
        <w:pBdr>
          <w:bottom w:val="single" w:color="2E8B8B" w:sz="10" w:space="5"/>
        </w:pBdr>
        <w:spacing w:after="160" w:before="320"/>
      </w:pPr>
      <w:r>
        <w:rPr>
          <w:rFonts w:ascii="Calibri" w:cs="Calibri" w:eastAsia="Calibri" w:hAnsi="Calibri"/>
          <w:b/>
          <w:bCs/>
          <w:color w:val="123A55"/>
          <w:sz w:val="30"/>
          <w:szCs w:val="30"/>
        </w:rPr>
        <w:t xml:space="preserve">11.  Πότε να απευθυνθείτε σε γιατρό</w:t>
      </w:r>
    </w:p>
    <w:p>
      <w:pPr>
        <w:spacing w:after="140" w:line="300"/>
      </w:pPr>
      <w:r>
        <w:rPr>
          <w:rFonts w:ascii="Calibri" w:cs="Calibri" w:eastAsia="Calibri" w:hAnsi="Calibri"/>
          <w:b/>
          <w:bCs/>
          <w:i w:val="false"/>
          <w:iCs w:val="false"/>
          <w:color w:val="123A55"/>
          <w:sz w:val="22"/>
          <w:szCs w:val="22"/>
        </w:rPr>
        <w:t xml:space="preserve">Άμεσα</w:t>
      </w:r>
      <w:r>
        <w:rPr>
          <w:rFonts w:ascii="Calibri" w:cs="Calibri" w:eastAsia="Calibri" w:hAnsi="Calibri"/>
          <w:b w:val="false"/>
          <w:bCs w:val="false"/>
          <w:i w:val="false"/>
          <w:iCs w:val="false"/>
          <w:color w:val="22303A"/>
          <w:sz w:val="22"/>
          <w:szCs w:val="22"/>
        </w:rPr>
        <w:t xml:space="preserve">, αν εμφανιστεί πυρετός μαζί με έντονο πονοκέφαλο, σύγχυση, δυσκαμψία αυχένα, τρέμουλο ή αδυναμία σε άκρο.</w:t>
      </w:r>
    </w:p>
    <w:p>
      <w:pPr>
        <w:spacing w:after="140" w:line="300"/>
      </w:pPr>
      <w:r>
        <w:rPr>
          <w:rFonts w:ascii="Calibri" w:cs="Calibri" w:eastAsia="Calibri" w:hAnsi="Calibri"/>
          <w:b/>
          <w:bCs/>
          <w:i w:val="false"/>
          <w:iCs w:val="false"/>
          <w:color w:val="123A55"/>
          <w:sz w:val="22"/>
          <w:szCs w:val="22"/>
        </w:rPr>
        <w:t xml:space="preserve">Χωρίς καθυστέρηση</w:t>
      </w:r>
      <w:r>
        <w:rPr>
          <w:rFonts w:ascii="Calibri" w:cs="Calibri" w:eastAsia="Calibri" w:hAnsi="Calibri"/>
          <w:b w:val="false"/>
          <w:bCs w:val="false"/>
          <w:i w:val="false"/>
          <w:iCs w:val="false"/>
          <w:color w:val="22303A"/>
          <w:sz w:val="22"/>
          <w:szCs w:val="22"/>
        </w:rPr>
        <w:t xml:space="preserve">, αν είστε άνω των 65, διαβητικός, με χρόνιο νόσημα ή ανοσοκαταστολή και εμφανίσετε </w:t>
      </w:r>
      <w:r>
        <w:rPr>
          <w:rFonts w:ascii="Calibri" w:cs="Calibri" w:eastAsia="Calibri" w:hAnsi="Calibri"/>
          <w:b/>
          <w:bCs/>
          <w:i w:val="false"/>
          <w:iCs w:val="false"/>
          <w:color w:val="22303A"/>
          <w:sz w:val="22"/>
          <w:szCs w:val="22"/>
        </w:rPr>
        <w:t xml:space="preserve">οποιονδήποτε ανεξήγητο πυρετό</w:t>
      </w:r>
      <w:r>
        <w:rPr>
          <w:rFonts w:ascii="Calibri" w:cs="Calibri" w:eastAsia="Calibri" w:hAnsi="Calibri"/>
          <w:b w:val="false"/>
          <w:bCs w:val="false"/>
          <w:i w:val="false"/>
          <w:iCs w:val="false"/>
          <w:color w:val="22303A"/>
          <w:sz w:val="22"/>
          <w:szCs w:val="22"/>
        </w:rPr>
        <w:t xml:space="preserve"> αυτή την περίοδο.</w:t>
      </w:r>
    </w:p>
    <w:p>
      <w:pPr>
        <w:spacing w:after="140" w:line="300"/>
      </w:pPr>
      <w:r>
        <w:rPr>
          <w:rFonts w:ascii="Calibri" w:cs="Calibri" w:eastAsia="Calibri" w:hAnsi="Calibri"/>
          <w:b/>
          <w:bCs/>
          <w:i w:val="false"/>
          <w:iCs w:val="false"/>
          <w:color w:val="22303A"/>
          <w:sz w:val="22"/>
          <w:szCs w:val="22"/>
        </w:rPr>
        <w:t xml:space="preserve">Δεν χρειάζεται πανικός</w:t>
      </w:r>
      <w:r>
        <w:rPr>
          <w:rFonts w:ascii="Calibri" w:cs="Calibri" w:eastAsia="Calibri" w:hAnsi="Calibri"/>
          <w:b w:val="false"/>
          <w:bCs w:val="false"/>
          <w:i w:val="false"/>
          <w:iCs w:val="false"/>
          <w:color w:val="22303A"/>
          <w:sz w:val="22"/>
          <w:szCs w:val="22"/>
        </w:rPr>
        <w:t xml:space="preserve"> αν έχετε απλώς τσιμπηθεί από κουνούπι. Τα περισσότερα κουνούπια δεν φέρουν τον ιό, και οι περισσότερες λοιμώξεις δεν προκαλούν καν συμπτώματα. Η επαγρύπνηση δεν είναι το ίδιο με τον φόβο.</w:t>
      </w:r>
    </w:p>
    <w:p>
      <w:pPr>
        <w:pBdr>
          <w:bottom w:val="single" w:color="2E8B8B" w:sz="10" w:space="5"/>
        </w:pBdr>
        <w:spacing w:after="160" w:before="320"/>
      </w:pPr>
      <w:r>
        <w:rPr>
          <w:rFonts w:ascii="Calibri" w:cs="Calibri" w:eastAsia="Calibri" w:hAnsi="Calibri"/>
          <w:b/>
          <w:bCs/>
          <w:color w:val="123A55"/>
          <w:sz w:val="30"/>
          <w:szCs w:val="30"/>
        </w:rPr>
        <w:t xml:space="preserve">12.  Ο εργαστηριακός έλεγχος — τι ισχύει</w:t>
      </w:r>
    </w:p>
    <w:p>
      <w:pPr>
        <w:spacing w:after="140" w:line="300"/>
      </w:pPr>
      <w:r>
        <w:rPr>
          <w:rFonts w:ascii="Calibri" w:cs="Calibri" w:eastAsia="Calibri" w:hAnsi="Calibri"/>
          <w:b/>
          <w:bCs/>
          <w:i w:val="false"/>
          <w:iCs w:val="false"/>
          <w:color w:val="22303A"/>
          <w:sz w:val="22"/>
          <w:szCs w:val="22"/>
        </w:rPr>
        <w:t xml:space="preserve">Δεν υπάρχει «τεστ ρουτίνας» που να έχει νόημα να κάνει κανείς προληπτικά.</w:t>
      </w:r>
      <w:r>
        <w:rPr>
          <w:rFonts w:ascii="Calibri" w:cs="Calibri" w:eastAsia="Calibri" w:hAnsi="Calibri"/>
          <w:b w:val="false"/>
          <w:bCs w:val="false"/>
          <w:i w:val="false"/>
          <w:iCs w:val="false"/>
          <w:color w:val="22303A"/>
          <w:sz w:val="22"/>
          <w:szCs w:val="22"/>
        </w:rPr>
        <w:t xml:space="preserve"> Η εξέταση για τον ιό του Δυτικού Νείλου ζητείται </w:t>
      </w:r>
      <w:r>
        <w:rPr>
          <w:rFonts w:ascii="Calibri" w:cs="Calibri" w:eastAsia="Calibri" w:hAnsi="Calibri"/>
          <w:b/>
          <w:bCs/>
          <w:i w:val="false"/>
          <w:iCs w:val="false"/>
          <w:color w:val="22303A"/>
          <w:sz w:val="22"/>
          <w:szCs w:val="22"/>
        </w:rPr>
        <w:t xml:space="preserve">μόνο όταν υπάρχουν συμπτώματα</w:t>
      </w:r>
      <w:r>
        <w:rPr>
          <w:rFonts w:ascii="Calibri" w:cs="Calibri" w:eastAsia="Calibri" w:hAnsi="Calibri"/>
          <w:b w:val="false"/>
          <w:bCs w:val="false"/>
          <w:i w:val="false"/>
          <w:iCs w:val="false"/>
          <w:color w:val="22303A"/>
          <w:sz w:val="22"/>
          <w:szCs w:val="22"/>
        </w:rPr>
        <w:t>, με απόφαση του γιατρού.</w:t>
      </w:r>
    </w:p>
    <w:p>
      <w:pPr>
        <w:spacing w:after="140" w:line="300"/>
      </w:pPr>
      <w:r>
        <w:rPr>
          <w:rFonts w:ascii="Calibri" w:cs="Calibri" w:eastAsia="Calibri" w:hAnsi="Calibri"/>
          <w:color w:val="22303A"/>
          <w:sz w:val="22"/>
          <w:szCs w:val="22"/>
        </w:rPr>
        <w:t xml:space="preserve">Οι εξετάσεις που χρησιμοποιούνται είναι δύο:</w:t>
      </w:r>
    </w:p>
    <w:p>
      <w:pPr>
        <w:pStyle w:val="ListParagraph"/>
        <w:numPr>
          <w:ilvl w:val="0"/>
          <w:numId w:val="5"/>
        </w:numPr>
        <w:spacing w:after="90" w:line="300"/>
      </w:pPr>
      <w:r>
        <w:rPr>
          <w:rFonts w:ascii="Calibri" w:cs="Calibri" w:eastAsia="Calibri" w:hAnsi="Calibri"/>
          <w:b/>
          <w:bCs/>
          <w:i w:val="false"/>
          <w:iCs w:val="false"/>
          <w:color w:val="22303A"/>
          <w:sz w:val="22"/>
          <w:szCs w:val="22"/>
        </w:rPr>
        <w:t>Αντισώματα IgM για τη νόσο</w:t>
      </w:r>
      <w:r>
        <w:rPr>
          <w:rFonts w:ascii="Calibri" w:cs="Calibri" w:eastAsia="Calibri" w:hAnsi="Calibri"/>
          <w:b w:val="false"/>
          <w:bCs w:val="false"/>
          <w:i w:val="false"/>
          <w:iCs w:val="false"/>
          <w:color w:val="22303A"/>
          <w:sz w:val="22"/>
          <w:szCs w:val="22"/>
        </w:rPr>
        <w:t xml:space="preserve"> — η βασική εξέταση, με απλή αιμοληψία.</w:t>
      </w:r>
    </w:p>
    <w:p>
      <w:pPr>
        <w:pStyle w:val="ListParagraph"/>
        <w:numPr>
          <w:ilvl w:val="0"/>
          <w:numId w:val="5"/>
        </w:numPr>
        <w:spacing w:after="90" w:line="300"/>
      </w:pPr>
      <w:r>
        <w:rPr>
          <w:rFonts w:ascii="Calibri" w:cs="Calibri" w:eastAsia="Calibri" w:hAnsi="Calibri"/>
          <w:b/>
          <w:bCs/>
          <w:i w:val="false"/>
          <w:iCs w:val="false"/>
          <w:color w:val="22303A"/>
          <w:sz w:val="22"/>
          <w:szCs w:val="22"/>
        </w:rPr>
        <w:t xml:space="preserve">Μοριακός έλεγχος (PCR)</w:t>
      </w:r>
      <w:r>
        <w:rPr>
          <w:rFonts w:ascii="Calibri" w:cs="Calibri" w:eastAsia="Calibri" w:hAnsi="Calibri"/>
          <w:b w:val="false"/>
          <w:bCs w:val="false"/>
          <w:i w:val="false"/>
          <w:iCs w:val="false"/>
          <w:color w:val="22303A"/>
          <w:sz w:val="22"/>
          <w:szCs w:val="22"/>
        </w:rPr>
        <w:t xml:space="preserve"> — σε ορισμένες περιπτώσεις, κυρίως πολύ νωρίς ή σε άτομα με εξασθενημένο ανοσοποιητικό.</w:t>
      </w:r>
    </w:p>
    <w:p>
      <w:pPr>
        <w:spacing w:after="140" w:line="300"/>
      </w:pPr>
      <w:r>
        <w:rPr>
          <w:rFonts w:ascii="Calibri" w:cs="Calibri" w:eastAsia="Calibri" w:hAnsi="Calibri"/>
          <w:b w:val="false"/>
          <w:bCs w:val="false"/>
          <w:i w:val="false"/>
          <w:iCs w:val="false"/>
          <w:color w:val="22303A"/>
          <w:sz w:val="22"/>
          <w:szCs w:val="22"/>
        </w:rPr>
        <w:t xml:space="preserve">Στις σοβαρές μορφές, ο έλεγχος γίνεται </w:t>
      </w:r>
      <w:r>
        <w:rPr>
          <w:rFonts w:ascii="Calibri" w:cs="Calibri" w:eastAsia="Calibri" w:hAnsi="Calibri"/>
          <w:b/>
          <w:bCs/>
          <w:i w:val="false"/>
          <w:iCs w:val="false"/>
          <w:color w:val="22303A"/>
          <w:sz w:val="22"/>
          <w:szCs w:val="22"/>
        </w:rPr>
        <w:t xml:space="preserve">στο νοσοκομείο</w:t>
      </w:r>
      <w:r>
        <w:rPr>
          <w:rFonts w:ascii="Calibri" w:cs="Calibri" w:eastAsia="Calibri" w:hAnsi="Calibri"/>
          <w:b w:val="false"/>
          <w:bCs w:val="false"/>
          <w:i w:val="false"/>
          <w:iCs w:val="false"/>
          <w:color w:val="22303A"/>
          <w:sz w:val="22"/>
          <w:szCs w:val="22"/>
        </w:rPr>
        <w:t xml:space="preserve"> με επιπλέον εξετάσεις.</w:t>
      </w:r>
    </w:p>
    <w:p>
      <w:pPr>
        <w:spacing w:after="140" w:line="300"/>
      </w:pPr>
      <w:r>
        <w:rPr>
          <w:rFonts w:ascii="Calibri" w:cs="Calibri" w:eastAsia="Calibri" w:hAnsi="Calibri"/>
          <w:color w:val="22303A"/>
          <w:sz w:val="22"/>
          <w:szCs w:val="22"/>
        </w:rPr>
        <w:t>Η εξέταση μπορεί να είναι αρνητική αν γίνει πολύ νωρίς. Τα IgM συνήθως γίνονται ανιχνεύσιμα μέσα στις πρώτες ημέρες από την έναρξη της νόσου, γι' αυτό ο χρόνος της εξέτασης κρίνεται από τον γιατρό. Σε σοβαρή ή νευροδιεισδυτική νόσο μπορεί να χρειαστεί έλεγχος και στο εγκεφαλονωτιαίο υγρό.</w:t>
      </w:r>
    </w:p>
    <w:tbl>
      <w:tblPr>
        <w:tblW w:type="dxa" w:w="9360"/>
        <w:tblBorders>
          <w:top w:val="single" w:color="EAF2F4" w:sz="2"/>
          <w:left w:val="single" w:color="2E8B8B" w:sz="24"/>
          <w:bottom w:val="single" w:color="EAF2F4" w:sz="2"/>
          <w:right w:val="single" w:color="EAF2F4" w:sz="2"/>
          <w:insideH w:val="none" w:color="FFFFFF" w:sz="0"/>
          <w:insideV w:val="none" w:color="FFFFFF" w:sz="0"/>
        </w:tblBorders>
      </w:tblPr>
      <w:tblGrid>
        <w:gridCol w:w="9360"/>
      </w:tblGrid>
      <w:tr>
        <w:tc>
          <w:tcPr>
            <w:tcW w:type="dxa" w:w="9360"/>
            <w:shd w:fill="EAF2F4" w:color="auto" w:val="clear"/>
            <w:tcMar>
              <w:top w:type="dxa" w:w="200"/>
              <w:left w:type="dxa" w:w="240"/>
              <w:bottom w:type="dxa" w:w="200"/>
              <w:right w:type="dxa" w:w="240"/>
            </w:tcMar>
          </w:tcPr>
          <w:p>
            <w:pPr>
              <w:spacing w:after="0" w:line="300"/>
            </w:pPr>
            <w:r>
              <w:rPr>
                <w:rFonts w:ascii="Calibri" w:cs="Calibri" w:eastAsia="Calibri" w:hAnsi="Calibri"/>
                <w:b/>
                <w:bCs/>
                <w:i w:val="false"/>
                <w:iCs w:val="false"/>
                <w:color w:val="123A55"/>
                <w:sz w:val="22"/>
                <w:szCs w:val="22"/>
              </w:rPr>
              <w:t xml:space="preserve">Συνεπώς: πηγαίνουμε στον γιατρό όταν έχουμε συμπτώματα, και εκείνος κρίνει αν και πότε χρειάζεται εξέταση.</w:t>
            </w:r>
          </w:p>
        </w:tc>
      </w:tr>
    </w:tbl>
    <w:p>
      <w:pPr>
        <w:spacing w:after="160" w:line="300"/>
      </w:pPr>
      <w:r>
        <w:rPr>
          <w:rFonts w:ascii="Calibri" w:cs="Calibri" w:eastAsia="Calibri" w:hAnsi="Calibri"/>
          <w:color w:val="22303A"/>
          <w:sz w:val="22"/>
          <w:szCs w:val="22"/>
        </w:rPr>
        <w:t xml:space="preserve"/>
      </w:r>
    </w:p>
    <w:tbl>
      <w:tblPr>
        <w:tblW w:type="dxa" w:w="9360"/>
        <w:tblBorders>
          <w:top w:val="single" w:color="123A55" w:sz="12"/>
          <w:left w:val="single" w:color="123A55" w:sz="12"/>
          <w:bottom w:val="single" w:color="123A55" w:sz="12"/>
          <w:right w:val="single" w:color="123A55" w:sz="12"/>
          <w:insideH w:val="none" w:color="FFFFFF" w:sz="0"/>
          <w:insideV w:val="none" w:color="FFFFFF" w:sz="0"/>
        </w:tblBorders>
      </w:tblPr>
      <w:tblGrid>
        <w:gridCol w:w="9360"/>
      </w:tblGrid>
      <w:tr>
        <w:tc>
          <w:tcPr>
            <w:tcW w:type="dxa" w:w="9360"/>
            <w:shd w:fill="F6FAFB" w:color="auto" w:val="clear"/>
            <w:tcMar>
              <w:top w:type="dxa" w:w="260"/>
              <w:left w:type="dxa" w:w="300"/>
              <w:bottom w:type="dxa" w:w="260"/>
              <w:right w:type="dxa" w:w="300"/>
            </w:tcMar>
          </w:tcPr>
          <w:p>
            <w:pPr>
              <w:spacing w:after="180"/>
            </w:pPr>
            <w:r>
              <w:rPr>
                <w:rFonts w:ascii="Calibri" w:cs="Calibri" w:eastAsia="Calibri" w:hAnsi="Calibri"/>
                <w:b/>
                <w:bCs/>
                <w:i w:val="false"/>
                <w:iCs w:val="false"/>
                <w:color w:val="123A55"/>
                <w:sz w:val="26"/>
                <w:szCs w:val="26"/>
              </w:rPr>
              <w:t xml:space="preserve">ΤΑ ΠΕΝΤΕ ΣΗΜΕΙΑ ΠΟΥ ΑΞΙΖΕΙ ΝΑ ΘΥΜΑΣΤΕ</w:t>
            </w:r>
          </w:p>
          <w:p>
            <w:pPr>
              <w:pStyle w:val="ListParagraph"/>
              <w:numPr>
                <w:ilvl w:val="0"/>
                <w:numId w:val="6"/>
              </w:numPr>
              <w:spacing w:after="90" w:line="300"/>
            </w:pPr>
            <w:r>
              <w:rPr>
                <w:rFonts w:ascii="Calibri" w:cs="Calibri" w:eastAsia="Calibri" w:hAnsi="Calibri"/>
                <w:b w:val="false"/>
                <w:bCs w:val="false"/>
                <w:i w:val="false"/>
                <w:iCs w:val="false"/>
                <w:color w:val="22303A"/>
                <w:sz w:val="22"/>
                <w:szCs w:val="22"/>
              </w:rPr>
              <w:t xml:space="preserve">Ο ιός </w:t>
            </w:r>
            <w:r>
              <w:rPr>
                <w:rFonts w:ascii="Calibri" w:cs="Calibri" w:eastAsia="Calibri" w:hAnsi="Calibri"/>
                <w:b/>
                <w:bCs/>
                <w:i w:val="false"/>
                <w:iCs w:val="false"/>
                <w:color w:val="22303A"/>
                <w:sz w:val="22"/>
                <w:szCs w:val="22"/>
              </w:rPr>
              <w:t xml:space="preserve">δεν μεταδίδεται από άνθρωπο σε άνθρωπο</w:t>
            </w:r>
            <w:r>
              <w:rPr>
                <w:rFonts w:ascii="Calibri" w:cs="Calibri" w:eastAsia="Calibri" w:hAnsi="Calibri"/>
                <w:b w:val="false"/>
                <w:bCs w:val="false"/>
                <w:i w:val="false"/>
                <w:iCs w:val="false"/>
                <w:color w:val="22303A"/>
                <w:sz w:val="22"/>
                <w:szCs w:val="22"/>
              </w:rPr>
              <w:t xml:space="preserve"> — μόνο από τσίμπημα κουνουπιού.</w:t>
            </w:r>
          </w:p>
          <w:p>
            <w:pPr>
              <w:pStyle w:val="ListParagraph"/>
              <w:numPr>
                <w:ilvl w:val="0"/>
                <w:numId w:val="6"/>
              </w:numPr>
              <w:spacing w:after="90" w:line="300"/>
            </w:pPr>
            <w:r>
              <w:rPr>
                <w:rFonts w:ascii="Calibri" w:cs="Calibri" w:eastAsia="Calibri" w:hAnsi="Calibri"/>
                <w:b/>
                <w:bCs/>
                <w:i w:val="false"/>
                <w:iCs w:val="false"/>
                <w:color w:val="22303A"/>
                <w:sz w:val="22"/>
                <w:szCs w:val="22"/>
              </w:rPr>
              <w:t xml:space="preserve">8 στους 10</w:t>
            </w:r>
            <w:r>
              <w:rPr>
                <w:rFonts w:ascii="Calibri" w:cs="Calibri" w:eastAsia="Calibri" w:hAnsi="Calibri"/>
                <w:b w:val="false"/>
                <w:bCs w:val="false"/>
                <w:i w:val="false"/>
                <w:iCs w:val="false"/>
                <w:color w:val="22303A"/>
                <w:sz w:val="22"/>
                <w:szCs w:val="22"/>
              </w:rPr>
              <w:t xml:space="preserve"> ανθρώπους που μολύνονται δεν εμφανίζουν κανένα σύμπτωμα.</w:t>
            </w:r>
          </w:p>
          <w:p>
            <w:pPr>
              <w:pStyle w:val="ListParagraph"/>
              <w:numPr>
                <w:ilvl w:val="0"/>
                <w:numId w:val="6"/>
              </w:numPr>
              <w:spacing w:after="90" w:line="300"/>
            </w:pPr>
            <w:r>
              <w:rPr>
                <w:rFonts w:ascii="Calibri" w:cs="Calibri" w:eastAsia="Calibri" w:hAnsi="Calibri"/>
                <w:b w:val="false"/>
                <w:bCs w:val="false"/>
                <w:i w:val="false"/>
                <w:iCs w:val="false"/>
                <w:color w:val="22303A"/>
                <w:sz w:val="22"/>
                <w:szCs w:val="22"/>
              </w:rPr>
              <w:t xml:space="preserve">Ο κίνδυνος σοβαρής νόσου αυξάνεται στα </w:t>
            </w:r>
            <w:r>
              <w:rPr>
                <w:rFonts w:ascii="Calibri" w:cs="Calibri" w:eastAsia="Calibri" w:hAnsi="Calibri"/>
                <w:b/>
                <w:bCs/>
                <w:i w:val="false"/>
                <w:iCs w:val="false"/>
                <w:color w:val="22303A"/>
                <w:sz w:val="22"/>
                <w:szCs w:val="22"/>
              </w:rPr>
              <w:t xml:space="preserve">άτομα άνω των 65 ετών, τους διαβητικούς, τους πάσχοντες από χρόνια καρδιαγγειακά νοσήματα, τους νεφροπαθείς και τους ανοσοκατεσταλμένους</w:t>
            </w:r>
            <w:r>
              <w:rPr>
                <w:rFonts w:ascii="Calibri" w:cs="Calibri" w:eastAsia="Calibri" w:hAnsi="Calibri"/>
                <w:b w:val="false"/>
                <w:bCs w:val="false"/>
                <w:i w:val="false"/>
                <w:iCs w:val="false"/>
                <w:color w:val="22303A"/>
                <w:sz w:val="22"/>
                <w:szCs w:val="22"/>
              </w:rPr>
              <w:t xml:space="preserve">.</w:t>
            </w:r>
          </w:p>
          <w:p>
            <w:pPr>
              <w:pStyle w:val="ListParagraph"/>
              <w:numPr>
                <w:ilvl w:val="0"/>
                <w:numId w:val="6"/>
              </w:numPr>
              <w:spacing w:after="90" w:line="300"/>
            </w:pPr>
            <w:r>
              <w:rPr>
                <w:rFonts w:ascii="Calibri" w:cs="Calibri" w:eastAsia="Calibri" w:hAnsi="Calibri"/>
                <w:b/>
                <w:bCs/>
                <w:i w:val="false"/>
                <w:iCs w:val="false"/>
                <w:color w:val="22303A"/>
                <w:sz w:val="22"/>
                <w:szCs w:val="22"/>
              </w:rPr>
              <w:t xml:space="preserve">Δεν υπάρχει εμβόλιο ούτε ειδικό φάρμακο</w:t>
            </w:r>
            <w:r>
              <w:rPr>
                <w:rFonts w:ascii="Calibri" w:cs="Calibri" w:eastAsia="Calibri" w:hAnsi="Calibri"/>
                <w:b w:val="false"/>
                <w:bCs w:val="false"/>
                <w:i w:val="false"/>
                <w:iCs w:val="false"/>
                <w:color w:val="22303A"/>
                <w:sz w:val="22"/>
                <w:szCs w:val="22"/>
              </w:rPr>
              <w:t xml:space="preserve"> — η προστασία από τα κουνούπια είναι όλη η στρατηγική μας.</w:t>
            </w:r>
          </w:p>
          <w:p>
            <w:pPr>
              <w:pStyle w:val="ListParagraph"/>
              <w:numPr>
                <w:ilvl w:val="0"/>
                <w:numId w:val="6"/>
              </w:numPr>
              <w:spacing w:after="0" w:line="300"/>
            </w:pPr>
            <w:r>
              <w:rPr>
                <w:rFonts w:ascii="Calibri" w:cs="Calibri" w:eastAsia="Calibri" w:hAnsi="Calibri"/>
                <w:b/>
                <w:bCs/>
                <w:i w:val="false"/>
                <w:iCs w:val="false"/>
                <w:color w:val="22303A"/>
                <w:sz w:val="22"/>
                <w:szCs w:val="22"/>
              </w:rPr>
              <w:t xml:space="preserve">Καθόλου στάσιμο νερό</w:t>
            </w:r>
            <w:r>
              <w:rPr>
                <w:rFonts w:ascii="Calibri" w:cs="Calibri" w:eastAsia="Calibri" w:hAnsi="Calibri"/>
                <w:b w:val="false"/>
                <w:bCs w:val="false"/>
                <w:i w:val="false"/>
                <w:iCs w:val="false"/>
                <w:color w:val="22303A"/>
                <w:sz w:val="22"/>
                <w:szCs w:val="22"/>
              </w:rPr>
              <w:t xml:space="preserve"> γύρω από το σπίτι. Είναι το μέτρο με τη μεγαλύτερη απόδοση και το μικρότερο κόστος.</w:t>
            </w:r>
          </w:p>
        </w:tc>
      </w:tr>
    </w:tbl>
    <w:p>
      <w:pPr>
        <w:pBdr>
          <w:bottom w:val="single" w:color="2E8B8B" w:sz="10" w:space="5"/>
        </w:pBdr>
        <w:spacing w:after="160" w:before="320"/>
      </w:pPr>
      <w:r>
        <w:rPr>
          <w:rFonts w:ascii="Calibri" w:cs="Calibri" w:eastAsia="Calibri" w:hAnsi="Calibri"/>
          <w:b/>
          <w:bCs/>
          <w:color w:val="123A55"/>
          <w:sz w:val="30"/>
          <w:szCs w:val="30"/>
        </w:rPr>
        <w:t xml:space="preserve">Πηγές και χρήσιμοι σύνδεσμοι</w:t>
      </w:r>
    </w:p>
    <w:p>
      <w:pPr>
        <w:pStyle w:val="ListParagraph"/>
        <w:numPr>
          <w:ilvl w:val="0"/>
          <w:numId w:val="2"/>
        </w:numPr>
        <w:spacing w:after="90" w:line="300"/>
      </w:pPr>
      <w:r>
        <w:rPr>
          <w:rFonts w:ascii="Calibri" w:cs="Calibri" w:eastAsia="Calibri" w:hAnsi="Calibri"/>
          <w:b/>
          <w:bCs/>
          <w:i w:val="false"/>
          <w:iCs w:val="false"/>
          <w:color w:val="22303A"/>
          <w:sz w:val="22"/>
          <w:szCs w:val="22"/>
        </w:rPr>
        <w:t>ΕΟΔΥ — Δελτία Τύπου και εβδομαδιαία έκθεση επιτήρησης, δεδομένα έως 19/08/2026</w:t>
      </w:r>
      <w:r>
        <w:rPr>
          <w:rFonts w:ascii="Calibri" w:cs="Calibri" w:eastAsia="Calibri" w:hAnsi="Calibri"/>
          <w:b w:val="false"/>
          <w:bCs w:val="false"/>
          <w:i w:val="false"/>
          <w:iCs w:val="false"/>
          <w:color w:val="22303A"/>
          <w:sz w:val="22"/>
          <w:szCs w:val="22"/>
        </w:rPr>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ECDC</w:t>
      </w:r>
      <w:r>
        <w:rPr>
          <w:rFonts w:ascii="Calibri" w:cs="Calibri" w:eastAsia="Calibri" w:hAnsi="Calibri"/>
          <w:b w:val="false"/>
          <w:bCs w:val="false"/>
          <w:i w:val="false"/>
          <w:iCs w:val="false"/>
          <w:color w:val="22303A"/>
          <w:sz w:val="22"/>
          <w:szCs w:val="22"/>
        </w:rPr>
        <w:t xml:space="preserve"> — Εβδομαδιαία επιτήρηση λοιμώξεων από τον ιό του Δυτικού Νείλου στην Ευρώπη, δεδομένα έως 21/08/2026</w:t>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CDC</w:t>
      </w:r>
      <w:r>
        <w:rPr>
          <w:rFonts w:ascii="Calibri" w:cs="Calibri" w:eastAsia="Calibri" w:hAnsi="Calibri"/>
          <w:b w:val="false"/>
          <w:bCs w:val="false"/>
          <w:i w:val="false"/>
          <w:iCs w:val="false"/>
          <w:color w:val="22303A"/>
          <w:sz w:val="22"/>
          <w:szCs w:val="22"/>
        </w:rPr>
        <w:t xml:space="preserve"> — Symptoms, Diagnosis and Treatment of West Nile Virus Disease</w:t>
      </w:r>
    </w:p>
    <w:p>
      <w:pPr>
        <w:pStyle w:val="ListParagraph"/>
        <w:numPr>
          <w:ilvl w:val="0"/>
          <w:numId w:val="2"/>
        </w:numPr>
        <w:spacing w:after="90" w:line="300"/>
      </w:pPr>
      <w:r>
        <w:rPr>
          <w:rFonts w:ascii="Calibri" w:cs="Calibri" w:eastAsia="Calibri" w:hAnsi="Calibri"/>
          <w:b/>
          <w:bCs/>
          <w:i w:val="false"/>
          <w:iCs w:val="false"/>
          <w:color w:val="22303A"/>
          <w:sz w:val="22"/>
          <w:szCs w:val="22"/>
        </w:rPr>
        <w:t xml:space="preserve">NIAID / NIH</w:t>
      </w:r>
      <w:r>
        <w:rPr>
          <w:rFonts w:ascii="Calibri" w:cs="Calibri" w:eastAsia="Calibri" w:hAnsi="Calibri"/>
          <w:b w:val="false"/>
          <w:bCs w:val="false"/>
          <w:i w:val="false"/>
          <w:iCs w:val="false"/>
          <w:color w:val="22303A"/>
          <w:sz w:val="22"/>
          <w:szCs w:val="22"/>
        </w:rPr>
        <w:t xml:space="preserve"> — West Nile Virus</w:t>
      </w:r>
    </w:p>
    <w:p>
      <w:pPr>
        <w:spacing w:after="60" w:line="300"/>
      </w:pPr>
      <w:r>
        <w:rPr>
          <w:rFonts w:ascii="Calibri" w:cs="Calibri" w:eastAsia="Calibri" w:hAnsi="Calibri"/>
          <w:color w:val="22303A"/>
          <w:sz w:val="22"/>
          <w:szCs w:val="22"/>
        </w:rPr>
        <w:t xml:space="preserve"/>
      </w:r>
    </w:p>
    <w:p>
      <w:pPr>
        <w:spacing w:after="100" w:line="300"/>
      </w:pPr>
      <w:r>
        <w:rPr>
          <w:rFonts w:ascii="Calibri" w:cs="Calibri" w:eastAsia="Calibri" w:hAnsi="Calibri"/>
          <w:b/>
          <w:bCs/>
          <w:i w:val="false"/>
          <w:iCs w:val="false"/>
          <w:color w:val="123A55"/>
          <w:sz w:val="22"/>
          <w:szCs w:val="22"/>
        </w:rPr>
        <w:t xml:space="preserve">Περισσότερες πληροφορίες:</w:t>
      </w:r>
    </w:p>
    <w:p>
      <w:pPr>
        <w:pStyle w:val="ListParagraph"/>
        <w:numPr>
          <w:ilvl w:val="0"/>
          <w:numId w:val="2"/>
        </w:numPr>
        <w:spacing w:after="90" w:line="300"/>
      </w:pPr>
      <w:hyperlink w:history="1" r:id="rId7yyqq4_wqa6c4_q0-oryd">
        <w:r>
          <w:rPr>
            <w:rFonts w:ascii="Calibri" w:cs="Calibri" w:eastAsia="Calibri" w:hAnsi="Calibri"/>
            <w:color w:val="2E8B8B"/>
            <w:sz w:val="22"/>
            <w:szCs w:val="22"/>
            <w:u w:val="single"/>
          </w:rPr>
          <w:t xml:space="preserve">ΕΟΔΥ — Ιός Δυτικού Νείλου</w:t>
        </w:r>
      </w:hyperlink>
    </w:p>
    <w:p>
      <w:pPr>
        <w:pStyle w:val="ListParagraph"/>
        <w:numPr>
          <w:ilvl w:val="0"/>
          <w:numId w:val="2"/>
        </w:numPr>
        <w:spacing w:after="90" w:line="300"/>
      </w:pPr>
      <w:hyperlink w:history="1" r:id="rIdl7jcwo_kz2zdup7sleg12">
        <w:r>
          <w:rPr>
            <w:rFonts w:ascii="Calibri" w:cs="Calibri" w:eastAsia="Calibri" w:hAnsi="Calibri"/>
            <w:color w:val="2E8B8B"/>
            <w:sz w:val="22"/>
            <w:szCs w:val="22"/>
            <w:u w:val="single"/>
          </w:rPr>
          <w:t xml:space="preserve">ΕΟΔΥ — Προφυλαχθείτε από τα κουνούπια</w:t>
        </w:r>
      </w:hyperlink>
    </w:p>
    <w:p>
      <w:pPr>
        <w:pStyle w:val="ListParagraph"/>
        <w:numPr>
          <w:ilvl w:val="0"/>
          <w:numId w:val="2"/>
        </w:numPr>
        <w:spacing w:after="90" w:line="300"/>
      </w:pPr>
      <w:hyperlink w:history="1" r:id="rIdj2anmbwbzgl3ytnebkhyq">
        <w:r>
          <w:rPr>
            <w:rFonts w:ascii="Calibri" w:cs="Calibri" w:eastAsia="Calibri" w:hAnsi="Calibri"/>
            <w:color w:val="2E8B8B"/>
            <w:sz w:val="22"/>
            <w:szCs w:val="22"/>
            <w:u w:val="single"/>
          </w:rPr>
          <w:t xml:space="preserve">CDC — West Nile Virus</w:t>
        </w:r>
      </w:hyperlink>
    </w:p>
    <w:p>
      <w:pPr>
        <w:spacing w:after="60" w:line="300"/>
      </w:pPr>
      <w:r>
        <w:rPr>
          <w:rFonts w:ascii="Calibri" w:cs="Calibri" w:eastAsia="Calibri" w:hAnsi="Calibri"/>
          <w:color w:val="22303A"/>
          <w:sz w:val="22"/>
          <w:szCs w:val="22"/>
        </w:rPr>
        <w:t xml:space="preserve"/>
      </w:r>
    </w:p>
    <w:p>
      <w:pPr>
        <w:spacing w:after="140" w:line="300"/>
      </w:pPr>
      <w:r>
        <w:rPr>
          <w:rFonts w:ascii="Calibri" w:cs="Calibri" w:eastAsia="Calibri" w:hAnsi="Calibri"/>
          <w:b/>
          <w:bCs/>
          <w:i w:val="false"/>
          <w:iCs w:val="false"/>
          <w:color w:val="123A55"/>
          <w:sz w:val="22"/>
          <w:szCs w:val="22"/>
        </w:rPr>
        <w:t xml:space="preserve">Τηλεφωνική γραμμή ΕΟΔΥ: 1135</w:t>
      </w:r>
    </w:p>
    <w:p>
      <w:pPr>
        <w:spacing w:after="0" w:before="400"/>
      </w:pPr>
      <w:r>
        <w:t xml:space="preserve"/>
      </w:r>
    </w:p>
    <w:tbl>
      <w:tblPr>
        <w:tblW w:type="dxa" w:w="9360"/>
        <w:tblBorders>
          <w:top w:val="single" w:color="2E8B8B" w:sz="12"/>
          <w:left w:val="none" w:color="FFFFFF" w:sz="0"/>
          <w:bottom w:val="single" w:color="2E8B8B" w:sz="12"/>
          <w:right w:val="none" w:color="FFFFFF" w:sz="0"/>
          <w:insideH w:val="none" w:color="FFFFFF" w:sz="0"/>
          <w:insideV w:val="none" w:color="FFFFFF" w:sz="0"/>
        </w:tblBorders>
      </w:tblPr>
      <w:tblGrid>
        <w:gridCol w:w="4680"/>
        <w:gridCol w:w="4680"/>
      </w:tblGrid>
      <w:tr>
        <w:tc>
          <w:tcPr>
            <w:tcW w:type="dxa" w:w="4680"/>
            <w:tcMar>
              <w:top w:type="dxa" w:w="240"/>
              <w:left w:type="dxa" w:w="0"/>
              <w:bottom w:type="dxa" w:w="240"/>
              <w:right w:type="dxa" w:w="200"/>
            </w:tcMar>
          </w:tcPr>
          <w:p>
            <w:pPr>
              <w:spacing w:after="100"/>
            </w:pPr>
            <w:r>
              <w:rPr>
                <w:rFonts w:ascii="Calibri" w:cs="Calibri" w:eastAsia="Calibri" w:hAnsi="Calibri"/>
                <w:b/>
                <w:bCs/>
                <w:i w:val="false"/>
                <w:iCs w:val="false"/>
                <w:color w:val="123A55"/>
                <w:sz w:val="24"/>
                <w:szCs w:val="24"/>
              </w:rPr>
              <w:t xml:space="preserve">Παναγιώτης Κωνσταντινόπουλος</w:t>
            </w:r>
          </w:p>
          <w:p>
            <w:pPr>
              <w:spacing w:after="140"/>
            </w:pPr>
            <w:r>
              <w:rPr>
                <w:rFonts w:ascii="Calibri" w:cs="Calibri" w:eastAsia="Calibri" w:hAnsi="Calibri"/>
                <w:b w:val="false"/>
                <w:bCs w:val="false"/>
                <w:i w:val="false"/>
                <w:iCs w:val="false"/>
                <w:color w:val="2E8B8B"/>
                <w:sz w:val="21"/>
                <w:szCs w:val="21"/>
              </w:rPr>
              <w:t xml:space="preserve">Παθολόγος — Διαβητολόγος</w:t>
            </w:r>
          </w:p>
          <w:p>
            <w:pPr>
              <w:spacing w:after="60"/>
            </w:pPr>
            <w:r>
              <w:rPr>
                <w:rFonts w:ascii="Calibri" w:cs="Calibri" w:eastAsia="Calibri" w:hAnsi="Calibri"/>
                <w:b w:val="false"/>
                <w:bCs w:val="false"/>
                <w:i w:val="false"/>
                <w:iCs w:val="false"/>
                <w:color w:val="22303A"/>
                <w:sz w:val="20"/>
                <w:szCs w:val="20"/>
              </w:rPr>
              <w:t xml:space="preserve">Αρτάκης 100, Πλατεία Σκατζουράκη</w:t>
            </w:r>
          </w:p>
          <w:p>
            <w:pPr>
              <w:spacing w:after="60"/>
            </w:pPr>
            <w:r>
              <w:rPr>
                <w:rFonts w:ascii="Calibri" w:cs="Calibri" w:eastAsia="Calibri" w:hAnsi="Calibri"/>
                <w:b w:val="false"/>
                <w:bCs w:val="false"/>
                <w:i w:val="false"/>
                <w:iCs w:val="false"/>
                <w:color w:val="22303A"/>
                <w:sz w:val="20"/>
                <w:szCs w:val="20"/>
              </w:rPr>
              <w:t xml:space="preserve">Νέα Σμύρνη, Αθήνα 171 23</w:t>
            </w:r>
          </w:p>
          <w:p>
            <w:pPr>
              <w:spacing w:after="60"/>
            </w:pPr>
            <w:r>
              <w:rPr>
                <w:rFonts w:ascii="Calibri" w:cs="Calibri" w:eastAsia="Calibri" w:hAnsi="Calibri"/>
                <w:b w:val="false"/>
                <w:bCs w:val="false"/>
                <w:i w:val="false"/>
                <w:iCs w:val="false"/>
                <w:color w:val="22303A"/>
                <w:sz w:val="20"/>
                <w:szCs w:val="20"/>
              </w:rPr>
              <w:t xml:space="preserve">Τηλ. 210 9330277</w:t>
            </w:r>
          </w:p>
          <w:p>
            <w:pPr>
              <w:spacing w:after="0"/>
            </w:pPr>
            <w:r>
              <w:rPr>
                <w:rFonts w:ascii="Calibri" w:cs="Calibri" w:eastAsia="Calibri" w:hAnsi="Calibri"/>
                <w:b w:val="false"/>
                <w:bCs w:val="false"/>
                <w:i w:val="false"/>
                <w:iCs w:val="false"/>
                <w:color w:val="22303A"/>
                <w:sz w:val="20"/>
                <w:szCs w:val="20"/>
              </w:rPr>
              <w:t xml:space="preserve">info@konstantinopoulos.gr</w:t>
            </w:r>
          </w:p>
        </w:tc>
        <w:tc>
          <w:tcPr>
            <w:tcW w:type="dxa" w:w="4680"/>
            <w:tcMar>
              <w:top w:type="dxa" w:w="240"/>
              <w:left w:type="dxa" w:w="200"/>
              <w:bottom w:type="dxa" w:w="240"/>
              <w:right w:type="dxa" w:w="0"/>
            </w:tcMar>
          </w:tcPr>
          <w:p>
            <w:pPr>
              <w:spacing w:after="100"/>
            </w:pPr>
            <w:r>
              <w:rPr>
                <w:rFonts w:ascii="Calibri" w:cs="Calibri" w:eastAsia="Calibri" w:hAnsi="Calibri"/>
                <w:b/>
                <w:bCs/>
                <w:i w:val="false"/>
                <w:iCs w:val="false"/>
                <w:color w:val="123A55"/>
                <w:sz w:val="21"/>
                <w:szCs w:val="21"/>
              </w:rPr>
              <w:t xml:space="preserve">Ωράριο ιατρείου</w:t>
            </w:r>
          </w:p>
          <w:p>
            <w:pPr>
              <w:spacing w:after="60"/>
            </w:pPr>
            <w:r>
              <w:rPr>
                <w:rFonts w:ascii="Calibri" w:cs="Calibri" w:eastAsia="Calibri" w:hAnsi="Calibri"/>
                <w:b w:val="false"/>
                <w:bCs w:val="false"/>
                <w:i w:val="false"/>
                <w:iCs w:val="false"/>
                <w:color w:val="22303A"/>
                <w:sz w:val="20"/>
                <w:szCs w:val="20"/>
              </w:rPr>
              <w:t>Δευτέρα έως Πέμπτη</w:t>
            </w:r>
          </w:p>
          <w:p>
            <w:pPr>
              <w:spacing w:after="60"/>
            </w:pPr>
            <w:r>
              <w:rPr>
                <w:rFonts w:ascii="Calibri" w:cs="Calibri" w:eastAsia="Calibri" w:hAnsi="Calibri"/>
                <w:b w:val="false"/>
                <w:bCs w:val="false"/>
                <w:i w:val="false"/>
                <w:iCs w:val="false"/>
                <w:color w:val="22303A"/>
                <w:sz w:val="20"/>
                <w:szCs w:val="20"/>
              </w:rPr>
              <w:t xml:space="preserve">10:30 – 13:00  &amp;  17:00 – 19:30</w:t>
            </w:r>
          </w:p>
          <w:p>
            <w:pPr>
              <w:spacing w:after="160"/>
            </w:pPr>
            <w:r>
              <w:rPr>
                <w:rFonts w:ascii="Calibri" w:cs="Calibri" w:eastAsia="Calibri" w:hAnsi="Calibri"/>
                <w:b w:val="false"/>
                <w:bCs w:val="false"/>
                <w:i/>
                <w:iCs/>
                <w:color w:val="5F6E78"/>
                <w:sz w:val="20"/>
                <w:szCs w:val="20"/>
              </w:rPr>
              <w:t xml:space="preserve">Κατόπιν ραντεβού</w:t>
            </w:r>
          </w:p>
          <w:p>
            <w:pPr>
              <w:spacing w:after="60"/>
            </w:pPr>
            <w:hyperlink w:history="1" r:id="rIdpcnzhdbds6ogbdolovfof">
              <w:r>
                <w:rPr>
                  <w:rFonts w:ascii="Calibri" w:cs="Calibri" w:eastAsia="Calibri" w:hAnsi="Calibri"/>
                  <w:color w:val="2E8B8B"/>
                  <w:sz w:val="22"/>
                  <w:szCs w:val="22"/>
                  <w:u w:val="single"/>
                </w:rPr>
                <w:t xml:space="preserve">www.konstantinopoulos.gr</w:t>
              </w:r>
            </w:hyperlink>
          </w:p>
          <w:p>
            <w:pPr>
              <w:spacing w:after="0"/>
            </w:pPr>
            <w:hyperlink w:history="1" r:id="rIdzfrghqpz7jgbm6p3qn3i0">
              <w:r>
                <w:rPr>
                  <w:rFonts w:ascii="Calibri" w:cs="Calibri" w:eastAsia="Calibri" w:hAnsi="Calibri"/>
                  <w:color w:val="2E8B8B"/>
                  <w:sz w:val="22"/>
                  <w:szCs w:val="22"/>
                  <w:u w:val="single"/>
                </w:rPr>
                <w:t xml:space="preserve">YouTube: @konstantinopoulos</w:t>
              </w:r>
            </w:hyperlink>
          </w:p>
        </w:tc>
      </w:tr>
    </w:tbl>
    <w:p>
      <w:pPr>
        <w:spacing w:after="0" w:before="320"/>
        <w:jc w:val="center"/>
      </w:pPr>
      <w:r>
        <w:rPr>
          <w:rFonts w:ascii="Calibri" w:cs="Calibri" w:eastAsia="Calibri" w:hAnsi="Calibri"/>
          <w:b w:val="false"/>
          <w:bCs w:val="false"/>
          <w:i/>
          <w:iCs/>
          <w:color w:val="5F6E78"/>
          <w:sz w:val="18"/>
          <w:szCs w:val="18"/>
        </w:rPr>
        <w:t xml:space="preserve">Το κείμενο έχει καθαρά ενημερωτικό χαρακτήρα και δεν υποκαθιστά την εξατομικευμένη ιατρική εκτίμηση.</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rPr>
        <w:color w:val="2E8B8B"/>
      </w:rPr>
    </w:lvl>
  </w:abstractNum>
  <w:abstractNum w:abstractNumId="3" w15:restartNumberingAfterBreak="0">
    <w:multiLevelType w:val="hybridMultilevel"/>
    <w:lvl w:ilvl="0" w15:tentative="1">
      <w:start w:val="1"/>
      <w:numFmt w:val="decimal"/>
      <w:lvlText w:val="%1."/>
      <w:lvlJc w:val="left"/>
      <w:pPr>
        <w:ind w:left="440" w:hanging="280"/>
      </w:pPr>
      <w:rPr>
        <w:b/>
        <w:bCs/>
        <w:color w:val="2E8B8B"/>
      </w:rPr>
    </w:lvl>
  </w:abstractNum>
  <w:abstractNum w:abstractNumId="4" w15:restartNumberingAfterBreak="0">
    <w:multiLevelType w:val="hybridMultilevel"/>
    <w:lvl w:ilvl="0" w15:tentative="1">
      <w:start w:val="1"/>
      <w:numFmt w:val="decimal"/>
      <w:lvlText w:val="%1."/>
      <w:lvlJc w:val="left"/>
      <w:pPr>
        <w:ind w:left="440" w:hanging="280"/>
      </w:pPr>
      <w:rPr>
        <w:b/>
        <w:bCs/>
        <w:color w:val="2E8B8B"/>
      </w:rPr>
    </w:lvl>
  </w:abstractNum>
  <w:abstractNum w:abstractNumId="5" w15:restartNumberingAfterBreak="0">
    <w:multiLevelType w:val="hybridMultilevel"/>
    <w:lvl w:ilvl="0" w15:tentative="1">
      <w:start w:val="1"/>
      <w:numFmt w:val="decimal"/>
      <w:lvlText w:val="%1."/>
      <w:lvlJc w:val="left"/>
      <w:pPr>
        <w:ind w:left="440" w:hanging="280"/>
      </w:pPr>
      <w:rPr>
        <w:b/>
        <w:bCs/>
        <w:color w:val="2E8B8B"/>
      </w:rPr>
    </w:lvl>
  </w:abstractNum>
  <w:abstractNum w:abstractNumId="6" w15:restartNumberingAfterBreak="0">
    <w:multiLevelType w:val="hybridMultilevel"/>
    <w:lvl w:ilvl="0" w15:tentative="1">
      <w:start w:val="1"/>
      <w:numFmt w:val="decimal"/>
      <w:lvlText w:val="%1."/>
      <w:lvlJc w:val="left"/>
      <w:pPr>
        <w:ind w:left="440" w:hanging="280"/>
      </w:pPr>
      <w:rPr>
        <w:b/>
        <w:bCs/>
        <w:color w:val="2E8B8B"/>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wapdhlzkmvmgnnbcnev5" Type="http://schemas.openxmlformats.org/officeDocument/2006/relationships/hyperlink" Target="https://eody.gov.gr/profylachtheite-apo-ta-koynoypia-profylachtheite-apo-ton-io-toy-dytikoy-neiloy-2/" TargetMode="External"/><Relationship Id="rId7yyqq4_wqa6c4_q0-oryd" Type="http://schemas.openxmlformats.org/officeDocument/2006/relationships/hyperlink" Target="https://eody.gov.gr/el/nosimata/metadotika/nosimata-kai-themata-ygeias/ios-dytikou-neilou.html" TargetMode="External"/><Relationship Id="rIdl7jcwo_kz2zdup7sleg12" Type="http://schemas.openxmlformats.org/officeDocument/2006/relationships/hyperlink" Target="https://eody.gov.gr/profylachtheite-apo-ta-koynoypia-profylachtheite-apo-ton-io-toy-dytikoy-neiloy-2/" TargetMode="External"/><Relationship Id="rIdj2anmbwbzgl3ytnebkhyq" Type="http://schemas.openxmlformats.org/officeDocument/2006/relationships/hyperlink" Target="https://www.cdc.gov/west-nile-virus/index.html" TargetMode="External"/><Relationship Id="rIdpcnzhdbds6ogbdolovfof" Type="http://schemas.openxmlformats.org/officeDocument/2006/relationships/hyperlink" Target="https://www.konstantinopoulos.gr" TargetMode="External"/><Relationship Id="rIdzfrghqpz7jgbm6p3qn3i0" Type="http://schemas.openxmlformats.org/officeDocument/2006/relationships/hyperlink" Target="https://youtube.com/@konstantinopoulos" TargetMode="External"/><Relationship Id="rId7" Type="http://schemas.openxmlformats.org/officeDocument/2006/relationships/image" Target="media/12d3d460ce9f7de75af25bd044924d78df639018.png"/><Relationship Id="rId14"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Ιός του Δυτικού Νείλου — Ενημέρωση κοινού</dc:title>
  <dc:creator>Παναγιώτης Κωνσταντινόπουλος</dc:creator>
  <cp:lastModifiedBy>Un-named</cp:lastModifiedBy>
  <cp:revision>1</cp:revision>
  <dcterms:created xsi:type="dcterms:W3CDTF">2026-08-24T16:08:00.131Z</dcterms:created>
  <dcterms:modified xsi:type="dcterms:W3CDTF">2026-08-24T16:08:00.147Z</dcterms:modified>
</cp:coreProperties>
</file>

<file path=docProps/custom.xml><?xml version="1.0" encoding="utf-8"?>
<Properties xmlns="http://schemas.openxmlformats.org/officeDocument/2006/custom-properties" xmlns:vt="http://schemas.openxmlformats.org/officeDocument/2006/docPropsVTypes"/>
</file>